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4259" w:rsidRDefault="00474259" w:rsidP="00474259">
      <w:pPr>
        <w:pStyle w:val="cn"/>
        <w:spacing w:line="276" w:lineRule="auto"/>
        <w:rPr>
          <w:lang w:val="ro-MD"/>
        </w:rPr>
      </w:pPr>
      <w:r>
        <w:rPr>
          <w:noProof/>
          <w:sz w:val="26"/>
          <w:szCs w:val="26"/>
        </w:rPr>
        <w:drawing>
          <wp:inline distT="0" distB="0" distL="0" distR="0">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474259" w:rsidRDefault="00474259" w:rsidP="00474259">
      <w:pPr>
        <w:spacing w:after="0" w:line="276" w:lineRule="auto"/>
        <w:jc w:val="center"/>
        <w:rPr>
          <w:rFonts w:ascii="Times New Roman" w:eastAsia="Times New Roman" w:hAnsi="Times New Roman" w:cs="Times New Roman"/>
          <w:b/>
          <w:bCs/>
          <w:sz w:val="16"/>
          <w:szCs w:val="16"/>
          <w:lang w:val="ro-MD"/>
        </w:rPr>
      </w:pPr>
    </w:p>
    <w:p w:rsidR="00474259" w:rsidRDefault="00474259" w:rsidP="00474259">
      <w:pPr>
        <w:spacing w:after="0" w:line="276" w:lineRule="auto"/>
        <w:jc w:val="center"/>
        <w:rPr>
          <w:rFonts w:ascii="Calibri Light" w:eastAsia="Times New Roman" w:hAnsi="Calibri Light" w:cs="Calibri Light"/>
          <w:bCs/>
          <w:sz w:val="28"/>
          <w:szCs w:val="28"/>
          <w:lang w:val="ro-MD"/>
        </w:rPr>
      </w:pPr>
      <w:r>
        <w:rPr>
          <w:rFonts w:ascii="Calibri Light" w:eastAsia="Times New Roman" w:hAnsi="Calibri Light" w:cs="Calibri Light"/>
          <w:bCs/>
          <w:sz w:val="28"/>
          <w:szCs w:val="28"/>
          <w:lang w:val="ro-MD"/>
        </w:rPr>
        <w:t>CURTEA DE CONTURI A REPUBLICII MOLDOVA</w:t>
      </w:r>
    </w:p>
    <w:p w:rsidR="00474259" w:rsidRDefault="00474259" w:rsidP="00474259">
      <w:pPr>
        <w:spacing w:after="0" w:line="276" w:lineRule="auto"/>
        <w:jc w:val="center"/>
        <w:rPr>
          <w:rFonts w:ascii="Calibri Light" w:eastAsia="Times New Roman" w:hAnsi="Calibri Light" w:cs="Calibri Light"/>
          <w:bCs/>
          <w:sz w:val="28"/>
          <w:szCs w:val="28"/>
          <w:lang w:val="ro-MD"/>
        </w:rPr>
      </w:pPr>
    </w:p>
    <w:p w:rsidR="00474259" w:rsidRDefault="00474259" w:rsidP="00474259">
      <w:pPr>
        <w:spacing w:after="0" w:line="276" w:lineRule="auto"/>
        <w:jc w:val="center"/>
        <w:rPr>
          <w:rFonts w:ascii="Calibri Light" w:eastAsia="Times New Roman" w:hAnsi="Calibri Light" w:cs="Calibri Light"/>
          <w:b/>
          <w:bCs/>
          <w:sz w:val="28"/>
          <w:szCs w:val="28"/>
          <w:lang w:val="ro-MD"/>
        </w:rPr>
      </w:pPr>
      <w:bookmarkStart w:id="0" w:name="_Toc450123757"/>
      <w:r>
        <w:rPr>
          <w:rFonts w:ascii="Calibri Light" w:eastAsia="Times New Roman" w:hAnsi="Calibri Light" w:cs="Calibri Light"/>
          <w:b/>
          <w:bCs/>
          <w:sz w:val="28"/>
          <w:szCs w:val="28"/>
          <w:lang w:val="ro-MD"/>
        </w:rPr>
        <w:t>H O T Ă R Â R E A nr.</w:t>
      </w:r>
      <w:bookmarkEnd w:id="0"/>
      <w:r>
        <w:rPr>
          <w:rFonts w:ascii="Calibri Light" w:eastAsia="Times New Roman" w:hAnsi="Calibri Light" w:cs="Calibri Light"/>
          <w:b/>
          <w:bCs/>
          <w:sz w:val="28"/>
          <w:szCs w:val="28"/>
          <w:lang w:val="ro-MD"/>
        </w:rPr>
        <w:t xml:space="preserve"> </w:t>
      </w:r>
      <w:r>
        <w:rPr>
          <w:rFonts w:ascii="Calibri Light" w:eastAsia="Times New Roman" w:hAnsi="Calibri Light" w:cs="Calibri Light"/>
          <w:b/>
          <w:bCs/>
          <w:sz w:val="28"/>
          <w:szCs w:val="28"/>
          <w:lang w:val="ro-MD"/>
        </w:rPr>
        <w:softHyphen/>
      </w:r>
      <w:r>
        <w:rPr>
          <w:rFonts w:ascii="Calibri Light" w:eastAsia="Times New Roman" w:hAnsi="Calibri Light" w:cs="Calibri Light"/>
          <w:b/>
          <w:bCs/>
          <w:sz w:val="28"/>
          <w:szCs w:val="28"/>
          <w:lang w:val="ro-MD"/>
        </w:rPr>
        <w:softHyphen/>
      </w:r>
      <w:r>
        <w:rPr>
          <w:rFonts w:ascii="Calibri Light" w:eastAsia="Times New Roman" w:hAnsi="Calibri Light" w:cs="Calibri Light"/>
          <w:b/>
          <w:bCs/>
          <w:sz w:val="28"/>
          <w:szCs w:val="28"/>
          <w:lang w:val="ro-MD"/>
        </w:rPr>
        <w:softHyphen/>
      </w:r>
      <w:r>
        <w:rPr>
          <w:rFonts w:ascii="Calibri Light" w:eastAsia="Times New Roman" w:hAnsi="Calibri Light" w:cs="Calibri Light"/>
          <w:b/>
          <w:bCs/>
          <w:sz w:val="28"/>
          <w:szCs w:val="28"/>
          <w:lang w:val="ro-MD"/>
        </w:rPr>
        <w:softHyphen/>
      </w:r>
      <w:r>
        <w:rPr>
          <w:rFonts w:ascii="Calibri Light" w:eastAsia="Times New Roman" w:hAnsi="Calibri Light" w:cs="Calibri Light"/>
          <w:b/>
          <w:bCs/>
          <w:sz w:val="28"/>
          <w:szCs w:val="28"/>
          <w:lang w:val="ro-MD"/>
        </w:rPr>
        <w:softHyphen/>
      </w:r>
      <w:r w:rsidR="005B7AE9">
        <w:rPr>
          <w:rFonts w:ascii="Calibri Light" w:eastAsia="Times New Roman" w:hAnsi="Calibri Light" w:cs="Calibri Light"/>
          <w:b/>
          <w:bCs/>
          <w:sz w:val="28"/>
          <w:szCs w:val="28"/>
          <w:lang w:val="ro-MD"/>
        </w:rPr>
        <w:t>12</w:t>
      </w:r>
    </w:p>
    <w:p w:rsidR="00474259" w:rsidRDefault="00DE4F82" w:rsidP="00474259">
      <w:pPr>
        <w:spacing w:after="0" w:line="276" w:lineRule="auto"/>
        <w:jc w:val="center"/>
        <w:rPr>
          <w:rFonts w:ascii="Calibri Light" w:eastAsia="Times New Roman" w:hAnsi="Calibri Light" w:cs="Calibri Light"/>
          <w:bCs/>
          <w:sz w:val="28"/>
          <w:szCs w:val="28"/>
          <w:lang w:val="ro-MD"/>
        </w:rPr>
      </w:pPr>
      <w:r>
        <w:rPr>
          <w:rFonts w:ascii="Calibri Light" w:eastAsia="Times New Roman" w:hAnsi="Calibri Light" w:cs="Calibri Light"/>
          <w:bCs/>
          <w:sz w:val="28"/>
          <w:szCs w:val="28"/>
          <w:lang w:val="ro-MD"/>
        </w:rPr>
        <w:t>din 25</w:t>
      </w:r>
      <w:r w:rsidR="00474259">
        <w:rPr>
          <w:rFonts w:ascii="Calibri Light" w:eastAsia="Times New Roman" w:hAnsi="Calibri Light" w:cs="Calibri Light"/>
          <w:bCs/>
          <w:sz w:val="28"/>
          <w:szCs w:val="28"/>
          <w:lang w:val="ro-MD"/>
        </w:rPr>
        <w:t xml:space="preserve"> </w:t>
      </w:r>
      <w:r>
        <w:rPr>
          <w:rFonts w:ascii="Calibri Light" w:eastAsia="Times New Roman" w:hAnsi="Calibri Light" w:cs="Calibri Light"/>
          <w:bCs/>
          <w:sz w:val="28"/>
          <w:szCs w:val="28"/>
          <w:lang w:val="ro-MD"/>
        </w:rPr>
        <w:t>martie 2020</w:t>
      </w:r>
    </w:p>
    <w:p w:rsidR="00474259" w:rsidRDefault="00474259" w:rsidP="00474259">
      <w:pPr>
        <w:spacing w:after="0" w:line="276" w:lineRule="auto"/>
        <w:jc w:val="center"/>
        <w:rPr>
          <w:rFonts w:ascii="Times New Roman" w:eastAsia="Times New Roman" w:hAnsi="Times New Roman" w:cs="Times New Roman"/>
          <w:bCs/>
          <w:sz w:val="28"/>
          <w:szCs w:val="28"/>
          <w:lang w:val="ro-MD"/>
        </w:rPr>
      </w:pPr>
    </w:p>
    <w:p w:rsidR="00474259" w:rsidRDefault="00474259" w:rsidP="00474259">
      <w:pPr>
        <w:spacing w:after="0" w:line="276" w:lineRule="auto"/>
        <w:jc w:val="center"/>
        <w:rPr>
          <w:rFonts w:asciiTheme="majorHAnsi" w:eastAsia="Times New Roman" w:hAnsiTheme="majorHAnsi" w:cs="Times New Roman"/>
          <w:b/>
          <w:bCs/>
          <w:sz w:val="28"/>
          <w:szCs w:val="28"/>
          <w:lang w:val="ro-MD" w:eastAsia="ru-RU"/>
        </w:rPr>
      </w:pPr>
      <w:r>
        <w:rPr>
          <w:rFonts w:asciiTheme="majorHAnsi" w:eastAsia="Times New Roman" w:hAnsiTheme="majorHAnsi" w:cs="Times New Roman"/>
          <w:b/>
          <w:bCs/>
          <w:sz w:val="28"/>
          <w:szCs w:val="28"/>
          <w:lang w:val="ro-MD" w:eastAsia="ru-RU"/>
        </w:rPr>
        <w:t xml:space="preserve">cu privire la Raportul auditului </w:t>
      </w:r>
      <w:r w:rsidR="004E0F0D">
        <w:rPr>
          <w:rFonts w:asciiTheme="majorHAnsi" w:eastAsia="Times New Roman" w:hAnsiTheme="majorHAnsi" w:cs="Times New Roman"/>
          <w:b/>
          <w:bCs/>
          <w:sz w:val="28"/>
          <w:szCs w:val="28"/>
          <w:lang w:val="ro-MD" w:eastAsia="ru-RU"/>
        </w:rPr>
        <w:t xml:space="preserve">asupra </w:t>
      </w:r>
      <w:r>
        <w:rPr>
          <w:rFonts w:asciiTheme="majorHAnsi" w:eastAsia="Times New Roman" w:hAnsiTheme="majorHAnsi" w:cs="Times New Roman"/>
          <w:b/>
          <w:bCs/>
          <w:sz w:val="28"/>
          <w:szCs w:val="28"/>
          <w:lang w:val="ro-MD" w:eastAsia="ru-RU"/>
        </w:rPr>
        <w:t xml:space="preserve">rapoartelor financiare </w:t>
      </w:r>
    </w:p>
    <w:p w:rsidR="00474259" w:rsidRDefault="00474259" w:rsidP="00474259">
      <w:pPr>
        <w:spacing w:after="0" w:line="276" w:lineRule="auto"/>
        <w:jc w:val="center"/>
        <w:rPr>
          <w:rFonts w:asciiTheme="majorHAnsi" w:eastAsia="Times New Roman" w:hAnsiTheme="majorHAnsi" w:cs="Times New Roman"/>
          <w:b/>
          <w:bCs/>
          <w:sz w:val="28"/>
          <w:szCs w:val="28"/>
          <w:lang w:val="ro-MD" w:eastAsia="ru-RU"/>
        </w:rPr>
      </w:pPr>
      <w:r>
        <w:rPr>
          <w:rFonts w:asciiTheme="majorHAnsi" w:eastAsia="Times New Roman" w:hAnsiTheme="majorHAnsi" w:cs="Times New Roman"/>
          <w:b/>
          <w:bCs/>
          <w:sz w:val="28"/>
          <w:szCs w:val="28"/>
          <w:lang w:val="ro-MD" w:eastAsia="ru-RU"/>
        </w:rPr>
        <w:t>ale Autorității Naționale de Integritat</w:t>
      </w:r>
      <w:r w:rsidR="007613D7">
        <w:rPr>
          <w:rFonts w:asciiTheme="majorHAnsi" w:eastAsia="Times New Roman" w:hAnsiTheme="majorHAnsi" w:cs="Times New Roman"/>
          <w:b/>
          <w:bCs/>
          <w:sz w:val="28"/>
          <w:szCs w:val="28"/>
          <w:lang w:val="ro-MD" w:eastAsia="ru-RU"/>
        </w:rPr>
        <w:t>e încheiate la 31 decembrie 2019</w:t>
      </w:r>
    </w:p>
    <w:p w:rsidR="00474259" w:rsidRDefault="00474259" w:rsidP="00474259">
      <w:pPr>
        <w:spacing w:after="0" w:line="276" w:lineRule="auto"/>
        <w:jc w:val="center"/>
        <w:rPr>
          <w:rFonts w:asciiTheme="majorHAnsi" w:eastAsia="Times New Roman" w:hAnsiTheme="majorHAnsi" w:cs="Times New Roman"/>
          <w:sz w:val="16"/>
          <w:szCs w:val="16"/>
          <w:lang w:val="ro-MD"/>
        </w:rPr>
      </w:pPr>
    </w:p>
    <w:p w:rsidR="00474259" w:rsidRDefault="00474259" w:rsidP="00474259">
      <w:pPr>
        <w:spacing w:after="0" w:line="276" w:lineRule="auto"/>
        <w:ind w:firstLine="567"/>
        <w:jc w:val="both"/>
        <w:rPr>
          <w:b/>
          <w:bCs/>
          <w:iCs/>
          <w:sz w:val="20"/>
          <w:szCs w:val="20"/>
          <w:lang w:val="ro-MD"/>
        </w:rPr>
      </w:pPr>
      <w:r w:rsidRPr="00D5314C">
        <w:rPr>
          <w:rFonts w:asciiTheme="majorHAnsi" w:hAnsiTheme="majorHAnsi"/>
          <w:sz w:val="28"/>
          <w:szCs w:val="28"/>
          <w:lang w:val="ro-MD"/>
        </w:rPr>
        <w:t xml:space="preserve">Curtea de Conturi, </w:t>
      </w:r>
      <w:r w:rsidR="00EE3877">
        <w:rPr>
          <w:rFonts w:asciiTheme="majorHAnsi" w:hAnsiTheme="majorHAnsi"/>
          <w:sz w:val="28"/>
          <w:szCs w:val="28"/>
          <w:lang w:val="ro-MD"/>
        </w:rPr>
        <w:t>fă</w:t>
      </w:r>
      <w:r w:rsidR="00BD1385" w:rsidRPr="00EE3877">
        <w:rPr>
          <w:rFonts w:asciiTheme="majorHAnsi" w:hAnsiTheme="majorHAnsi"/>
          <w:sz w:val="28"/>
          <w:szCs w:val="28"/>
          <w:lang w:val="ro-MD"/>
        </w:rPr>
        <w:t>ră</w:t>
      </w:r>
      <w:r w:rsidRPr="00EE3877">
        <w:rPr>
          <w:rFonts w:asciiTheme="majorHAnsi" w:hAnsiTheme="majorHAnsi"/>
          <w:sz w:val="28"/>
          <w:szCs w:val="28"/>
          <w:lang w:val="ro-MD"/>
        </w:rPr>
        <w:t xml:space="preserve"> prezența </w:t>
      </w:r>
      <w:r w:rsidR="00EE3877">
        <w:rPr>
          <w:rFonts w:asciiTheme="majorHAnsi" w:hAnsiTheme="majorHAnsi"/>
          <w:sz w:val="28"/>
          <w:szCs w:val="28"/>
          <w:lang w:val="ro-MD"/>
        </w:rPr>
        <w:t>reprezentanților</w:t>
      </w:r>
      <w:r w:rsidR="00D5314C" w:rsidRPr="00EE3877">
        <w:rPr>
          <w:rFonts w:asciiTheme="majorHAnsi" w:hAnsiTheme="majorHAnsi"/>
          <w:sz w:val="28"/>
          <w:szCs w:val="28"/>
          <w:lang w:val="ro-MD"/>
        </w:rPr>
        <w:t xml:space="preserve"> Autorității Naționale de Integritate</w:t>
      </w:r>
      <w:r w:rsidR="00EE3877">
        <w:rPr>
          <w:rFonts w:asciiTheme="majorHAnsi" w:hAnsiTheme="majorHAnsi"/>
          <w:sz w:val="28"/>
          <w:szCs w:val="28"/>
          <w:lang w:val="ro-MD"/>
        </w:rPr>
        <w:t xml:space="preserve"> </w:t>
      </w:r>
      <w:r w:rsidR="00EE3877" w:rsidRPr="00DA1D18">
        <w:rPr>
          <w:rFonts w:asciiTheme="majorHAnsi" w:hAnsiTheme="majorHAnsi" w:cstheme="majorHAnsi"/>
          <w:sz w:val="28"/>
          <w:szCs w:val="28"/>
          <w:lang w:val="ro-MD"/>
        </w:rPr>
        <w:t xml:space="preserve">în legătură cu instituirea </w:t>
      </w:r>
      <w:r w:rsidR="00DA1D18" w:rsidRPr="00DA1D18">
        <w:rPr>
          <w:rFonts w:asciiTheme="majorHAnsi" w:hAnsiTheme="majorHAnsi" w:cstheme="majorHAnsi"/>
          <w:sz w:val="28"/>
          <w:szCs w:val="28"/>
          <w:lang w:val="ro-MD"/>
        </w:rPr>
        <w:t>stării de urgență pe întreg teritoriul Republicii Moldova</w:t>
      </w:r>
      <w:r w:rsidR="00902EF9" w:rsidRPr="00DA1D18">
        <w:rPr>
          <w:rStyle w:val="FootnoteReference"/>
          <w:rFonts w:asciiTheme="majorHAnsi" w:hAnsiTheme="majorHAnsi" w:cstheme="majorHAnsi"/>
          <w:sz w:val="28"/>
          <w:szCs w:val="28"/>
          <w:lang w:val="ro-MD"/>
        </w:rPr>
        <w:footnoteReference w:id="1"/>
      </w:r>
      <w:r w:rsidR="00D5314C" w:rsidRPr="00DA1D18">
        <w:rPr>
          <w:rFonts w:asciiTheme="majorHAnsi" w:hAnsiTheme="majorHAnsi" w:cstheme="majorHAnsi"/>
          <w:sz w:val="28"/>
          <w:szCs w:val="28"/>
          <w:lang w:val="ro-MD"/>
        </w:rPr>
        <w:t>,</w:t>
      </w:r>
      <w:r w:rsidR="00D5314C" w:rsidRPr="00DA1D18">
        <w:rPr>
          <w:rFonts w:asciiTheme="majorHAnsi" w:hAnsiTheme="majorHAnsi"/>
          <w:sz w:val="28"/>
          <w:szCs w:val="28"/>
          <w:lang w:val="ro-MD"/>
        </w:rPr>
        <w:t xml:space="preserve"> </w:t>
      </w:r>
      <w:r w:rsidRPr="00D5314C">
        <w:rPr>
          <w:rFonts w:asciiTheme="majorHAnsi" w:hAnsiTheme="majorHAnsi"/>
          <w:bCs/>
          <w:sz w:val="28"/>
          <w:szCs w:val="28"/>
          <w:lang w:val="ro-MD"/>
        </w:rPr>
        <w:t>călăuzindu-se de</w:t>
      </w:r>
      <w:r w:rsidRPr="00D5314C">
        <w:rPr>
          <w:rFonts w:asciiTheme="majorHAnsi" w:hAnsiTheme="majorHAnsi"/>
          <w:sz w:val="28"/>
          <w:szCs w:val="28"/>
          <w:lang w:val="ro-MD"/>
        </w:rPr>
        <w:t xml:space="preserve"> art.3 alin.(1) și art.5 alin.(1) lit.a) din Legea</w:t>
      </w:r>
      <w:r>
        <w:rPr>
          <w:rFonts w:asciiTheme="majorHAnsi" w:hAnsiTheme="majorHAnsi"/>
          <w:sz w:val="28"/>
          <w:szCs w:val="28"/>
          <w:lang w:val="ro-MD"/>
        </w:rPr>
        <w:t xml:space="preserve"> privind organizarea și funcționarea Curții de Conturi a Republicii Moldova</w:t>
      </w:r>
      <w:r>
        <w:rPr>
          <w:rStyle w:val="FootnoteReference1"/>
          <w:rFonts w:asciiTheme="majorHAnsi" w:hAnsiTheme="majorHAnsi"/>
          <w:sz w:val="28"/>
          <w:szCs w:val="28"/>
          <w:lang w:val="ro-MD"/>
        </w:rPr>
        <w:footnoteReference w:id="2"/>
      </w:r>
      <w:r>
        <w:rPr>
          <w:rFonts w:asciiTheme="majorHAnsi" w:hAnsiTheme="majorHAnsi"/>
          <w:sz w:val="28"/>
          <w:szCs w:val="28"/>
          <w:lang w:val="ro-MD"/>
        </w:rPr>
        <w:t xml:space="preserve">, a examinat </w:t>
      </w:r>
      <w:r>
        <w:rPr>
          <w:rFonts w:asciiTheme="majorHAnsi" w:hAnsiTheme="majorHAnsi"/>
          <w:bCs/>
          <w:sz w:val="28"/>
          <w:szCs w:val="28"/>
          <w:lang w:val="ro-MD" w:eastAsia="ru-RU"/>
        </w:rPr>
        <w:t xml:space="preserve">Raportul auditului </w:t>
      </w:r>
      <w:r w:rsidR="004E0F0D">
        <w:rPr>
          <w:rFonts w:asciiTheme="majorHAnsi" w:hAnsiTheme="majorHAnsi"/>
          <w:bCs/>
          <w:sz w:val="28"/>
          <w:szCs w:val="28"/>
          <w:lang w:val="ro-MD" w:eastAsia="ru-RU"/>
        </w:rPr>
        <w:t xml:space="preserve">asupra </w:t>
      </w:r>
      <w:r>
        <w:rPr>
          <w:rFonts w:asciiTheme="majorHAnsi" w:hAnsiTheme="majorHAnsi"/>
          <w:bCs/>
          <w:sz w:val="28"/>
          <w:szCs w:val="28"/>
          <w:lang w:val="ro-MD" w:eastAsia="ru-RU"/>
        </w:rPr>
        <w:t>rapoartelor financiare ale Autorității Naționale de Integritat</w:t>
      </w:r>
      <w:r w:rsidR="00AF1CFE">
        <w:rPr>
          <w:rFonts w:asciiTheme="majorHAnsi" w:hAnsiTheme="majorHAnsi"/>
          <w:bCs/>
          <w:sz w:val="28"/>
          <w:szCs w:val="28"/>
          <w:lang w:val="ro-MD" w:eastAsia="ru-RU"/>
        </w:rPr>
        <w:t>e încheiate la 31 decembrie 2019</w:t>
      </w:r>
      <w:r>
        <w:rPr>
          <w:rFonts w:asciiTheme="majorHAnsi" w:hAnsiTheme="majorHAnsi"/>
          <w:bCs/>
          <w:sz w:val="28"/>
          <w:szCs w:val="28"/>
          <w:lang w:val="ro-MD" w:eastAsia="ru-RU"/>
        </w:rPr>
        <w:t>.</w:t>
      </w:r>
    </w:p>
    <w:p w:rsidR="00474259" w:rsidRDefault="00474259" w:rsidP="00474259">
      <w:pPr>
        <w:spacing w:after="0" w:line="276" w:lineRule="auto"/>
        <w:ind w:firstLine="567"/>
        <w:jc w:val="both"/>
        <w:rPr>
          <w:rFonts w:asciiTheme="majorHAnsi" w:hAnsiTheme="majorHAnsi" w:cs="Times New Roman"/>
          <w:sz w:val="28"/>
          <w:szCs w:val="28"/>
          <w:lang w:val="ro-MD"/>
        </w:rPr>
      </w:pPr>
      <w:r>
        <w:rPr>
          <w:rFonts w:asciiTheme="majorHAnsi" w:eastAsia="Times New Roman" w:hAnsiTheme="majorHAnsi" w:cs="Times New Roman"/>
          <w:sz w:val="28"/>
          <w:szCs w:val="28"/>
          <w:lang w:val="ro-MD" w:eastAsia="ro-MD"/>
        </w:rPr>
        <w:t>Misiunea de audit</w:t>
      </w:r>
      <w:r w:rsidR="00612222">
        <w:rPr>
          <w:rFonts w:asciiTheme="majorHAnsi" w:eastAsia="Times New Roman" w:hAnsiTheme="majorHAnsi" w:cs="Times New Roman"/>
          <w:sz w:val="28"/>
          <w:szCs w:val="28"/>
          <w:lang w:val="ro-MD" w:eastAsia="ro-MD"/>
        </w:rPr>
        <w:t xml:space="preserve"> public extern</w:t>
      </w:r>
      <w:r>
        <w:rPr>
          <w:rFonts w:asciiTheme="majorHAnsi" w:eastAsia="Times New Roman" w:hAnsiTheme="majorHAnsi" w:cs="Times New Roman"/>
          <w:sz w:val="28"/>
          <w:szCs w:val="28"/>
          <w:lang w:val="ro-MD" w:eastAsia="ro-MD"/>
        </w:rPr>
        <w:t xml:space="preserve"> a fost realizată conform </w:t>
      </w:r>
      <w:r>
        <w:rPr>
          <w:rFonts w:asciiTheme="majorHAnsi" w:hAnsiTheme="majorHAnsi" w:cs="Times New Roman"/>
          <w:sz w:val="28"/>
          <w:szCs w:val="28"/>
          <w:lang w:val="ro-MD"/>
        </w:rPr>
        <w:t xml:space="preserve">Programului activității de audit </w:t>
      </w:r>
      <w:r w:rsidR="00AF1CFE">
        <w:rPr>
          <w:rFonts w:asciiTheme="majorHAnsi" w:hAnsiTheme="majorHAnsi" w:cs="Times New Roman"/>
          <w:sz w:val="28"/>
          <w:szCs w:val="28"/>
          <w:lang w:val="ro-MD"/>
        </w:rPr>
        <w:t>a Curții de Conturi pe anul 2020</w:t>
      </w:r>
      <w:r>
        <w:rPr>
          <w:rStyle w:val="FootnoteReference1"/>
          <w:rFonts w:asciiTheme="majorHAnsi" w:hAnsiTheme="majorHAnsi" w:cs="Times New Roman"/>
          <w:sz w:val="28"/>
          <w:szCs w:val="28"/>
          <w:lang w:val="ro-MD"/>
        </w:rPr>
        <w:footnoteReference w:id="3"/>
      </w:r>
      <w:r>
        <w:rPr>
          <w:rFonts w:asciiTheme="majorHAnsi" w:hAnsiTheme="majorHAnsi" w:cs="Times New Roman"/>
          <w:sz w:val="28"/>
          <w:szCs w:val="28"/>
          <w:lang w:val="ro-MD"/>
        </w:rPr>
        <w:t xml:space="preserve">, </w:t>
      </w:r>
      <w:r>
        <w:rPr>
          <w:rFonts w:asciiTheme="majorHAnsi" w:eastAsia="Times New Roman" w:hAnsiTheme="majorHAnsi" w:cs="Times New Roman"/>
          <w:sz w:val="28"/>
          <w:szCs w:val="28"/>
          <w:lang w:val="ro-MD"/>
        </w:rPr>
        <w:t xml:space="preserve">având drept scop </w:t>
      </w:r>
      <w:r>
        <w:rPr>
          <w:rFonts w:asciiTheme="majorHAnsi" w:hAnsiTheme="majorHAnsi" w:cs="Times New Roman"/>
          <w:sz w:val="28"/>
          <w:szCs w:val="28"/>
          <w:lang w:val="ro-MD"/>
        </w:rPr>
        <w:t xml:space="preserve">oferirea unei asigurări rezonabile cu privire la faptul că rapoartele financiare ale </w:t>
      </w:r>
      <w:r w:rsidR="002E5048">
        <w:rPr>
          <w:rFonts w:asciiTheme="majorHAnsi" w:hAnsiTheme="majorHAnsi" w:cs="Times New Roman"/>
          <w:sz w:val="28"/>
          <w:szCs w:val="28"/>
          <w:lang w:val="ro-MD"/>
        </w:rPr>
        <w:t>Autorității Naționale de Integritate, încheiate la 3</w:t>
      </w:r>
      <w:r w:rsidR="002B4AB7">
        <w:rPr>
          <w:rFonts w:asciiTheme="majorHAnsi" w:hAnsiTheme="majorHAnsi" w:cs="Times New Roman"/>
          <w:sz w:val="28"/>
          <w:szCs w:val="28"/>
          <w:lang w:val="ro-MD"/>
        </w:rPr>
        <w:t>1 decembrie 2019</w:t>
      </w:r>
      <w:r>
        <w:rPr>
          <w:rFonts w:asciiTheme="majorHAnsi" w:hAnsiTheme="majorHAnsi" w:cs="Times New Roman"/>
          <w:sz w:val="28"/>
          <w:szCs w:val="28"/>
          <w:lang w:val="ro-MD"/>
        </w:rPr>
        <w:t>, nu conțin, în ansamblul lor, denaturări semnificative cauzate de fraude sau erori, precum și emiterea unei opinii.</w:t>
      </w:r>
    </w:p>
    <w:p w:rsidR="00474259" w:rsidRDefault="00474259" w:rsidP="00474259">
      <w:pPr>
        <w:spacing w:after="0" w:line="276" w:lineRule="auto"/>
        <w:ind w:firstLine="567"/>
        <w:jc w:val="both"/>
        <w:rPr>
          <w:rFonts w:asciiTheme="majorHAnsi" w:eastAsia="Times New Roman" w:hAnsiTheme="majorHAnsi" w:cs="Times New Roman"/>
          <w:sz w:val="28"/>
          <w:szCs w:val="28"/>
          <w:lang w:val="ro-MD"/>
        </w:rPr>
      </w:pPr>
      <w:r>
        <w:rPr>
          <w:rFonts w:asciiTheme="majorHAnsi" w:eastAsia="Times New Roman" w:hAnsiTheme="majorHAnsi" w:cs="Times New Roman"/>
          <w:sz w:val="28"/>
          <w:szCs w:val="28"/>
          <w:lang w:val="ro-MD"/>
        </w:rPr>
        <w:t>Auditul public extern s-a desfășurat în conformitate cu Standardele Internaționale ale Instituțiilor Supreme de Audit aplicate de Curtea de Conturi (ISSAI 100, ISSAI 200 și ISSAI 1003-1810)</w:t>
      </w:r>
      <w:r>
        <w:rPr>
          <w:rStyle w:val="FootnoteReference1"/>
          <w:rFonts w:asciiTheme="majorHAnsi" w:eastAsia="Times New Roman" w:hAnsiTheme="majorHAnsi" w:cs="Times New Roman"/>
          <w:sz w:val="28"/>
          <w:szCs w:val="28"/>
          <w:lang w:val="ro-MD"/>
        </w:rPr>
        <w:footnoteReference w:id="4"/>
      </w:r>
      <w:r>
        <w:rPr>
          <w:rFonts w:asciiTheme="majorHAnsi" w:eastAsia="Times New Roman" w:hAnsiTheme="majorHAnsi" w:cs="Times New Roman"/>
          <w:sz w:val="28"/>
          <w:szCs w:val="28"/>
          <w:lang w:val="ro-MD"/>
        </w:rPr>
        <w:t xml:space="preserve">. </w:t>
      </w:r>
    </w:p>
    <w:p w:rsidR="00474259" w:rsidRDefault="00474259" w:rsidP="00474259">
      <w:pPr>
        <w:spacing w:after="0" w:line="276" w:lineRule="auto"/>
        <w:ind w:firstLine="567"/>
        <w:jc w:val="both"/>
        <w:rPr>
          <w:rFonts w:asciiTheme="majorHAnsi" w:eastAsia="Times New Roman" w:hAnsiTheme="majorHAnsi" w:cs="Times New Roman"/>
          <w:sz w:val="28"/>
          <w:szCs w:val="28"/>
          <w:lang w:val="ro-MD"/>
        </w:rPr>
      </w:pPr>
      <w:r>
        <w:rPr>
          <w:rFonts w:asciiTheme="majorHAnsi" w:eastAsia="Times New Roman" w:hAnsiTheme="majorHAnsi" w:cs="Times New Roman"/>
          <w:sz w:val="28"/>
          <w:szCs w:val="28"/>
          <w:lang w:val="ro-MD"/>
        </w:rPr>
        <w:t xml:space="preserve">Examinând Raportul de audit, Curtea de Conturi </w:t>
      </w:r>
    </w:p>
    <w:p w:rsidR="00474259" w:rsidRDefault="00474259" w:rsidP="00474259">
      <w:pPr>
        <w:spacing w:after="0" w:line="276" w:lineRule="auto"/>
        <w:rPr>
          <w:rFonts w:asciiTheme="majorHAnsi" w:eastAsia="Times New Roman" w:hAnsiTheme="majorHAnsi" w:cs="Times New Roman"/>
          <w:b/>
          <w:bCs/>
          <w:sz w:val="28"/>
          <w:szCs w:val="28"/>
          <w:lang w:val="ro-MD"/>
        </w:rPr>
      </w:pPr>
    </w:p>
    <w:p w:rsidR="00474259" w:rsidRDefault="00474259" w:rsidP="00474259">
      <w:pPr>
        <w:spacing w:after="0" w:line="276" w:lineRule="auto"/>
        <w:jc w:val="center"/>
        <w:rPr>
          <w:rFonts w:asciiTheme="majorHAnsi" w:eastAsia="Times New Roman" w:hAnsiTheme="majorHAnsi" w:cs="Times New Roman"/>
          <w:b/>
          <w:bCs/>
          <w:sz w:val="28"/>
          <w:szCs w:val="28"/>
          <w:lang w:val="ro-MD"/>
        </w:rPr>
      </w:pPr>
      <w:r>
        <w:rPr>
          <w:rFonts w:asciiTheme="majorHAnsi" w:eastAsia="Times New Roman" w:hAnsiTheme="majorHAnsi" w:cs="Times New Roman"/>
          <w:b/>
          <w:bCs/>
          <w:sz w:val="28"/>
          <w:szCs w:val="28"/>
          <w:lang w:val="ro-MD"/>
        </w:rPr>
        <w:t>A CONSTATAT:</w:t>
      </w:r>
    </w:p>
    <w:p w:rsidR="00474259" w:rsidRDefault="00474259" w:rsidP="00474259">
      <w:pPr>
        <w:pStyle w:val="NormalWeb"/>
        <w:spacing w:line="276" w:lineRule="auto"/>
        <w:rPr>
          <w:rFonts w:asciiTheme="majorHAnsi" w:hAnsiTheme="majorHAnsi"/>
          <w:sz w:val="28"/>
          <w:szCs w:val="28"/>
          <w:lang w:val="ro-MD"/>
        </w:rPr>
      </w:pPr>
      <w:r>
        <w:rPr>
          <w:rFonts w:asciiTheme="majorHAnsi" w:hAnsiTheme="majorHAnsi"/>
          <w:sz w:val="28"/>
          <w:szCs w:val="28"/>
          <w:lang w:val="ro-MD"/>
        </w:rPr>
        <w:t xml:space="preserve">rapoartele financiare ale </w:t>
      </w:r>
      <w:r w:rsidR="002E5048">
        <w:rPr>
          <w:rFonts w:asciiTheme="majorHAnsi" w:hAnsiTheme="majorHAnsi"/>
          <w:sz w:val="28"/>
          <w:szCs w:val="28"/>
          <w:lang w:val="ro-MD"/>
        </w:rPr>
        <w:t>Autorității Naționale de Integritate</w:t>
      </w:r>
      <w:r>
        <w:rPr>
          <w:rFonts w:asciiTheme="majorHAnsi" w:hAnsiTheme="majorHAnsi"/>
          <w:sz w:val="28"/>
          <w:szCs w:val="28"/>
          <w:lang w:val="ro-MD"/>
        </w:rPr>
        <w:t>,</w:t>
      </w:r>
      <w:r>
        <w:rPr>
          <w:rFonts w:asciiTheme="majorHAnsi" w:hAnsiTheme="majorHAnsi"/>
          <w:lang w:val="ro-MD"/>
        </w:rPr>
        <w:t xml:space="preserve"> </w:t>
      </w:r>
      <w:r>
        <w:rPr>
          <w:rFonts w:asciiTheme="majorHAnsi" w:hAnsiTheme="majorHAnsi"/>
          <w:sz w:val="28"/>
          <w:szCs w:val="28"/>
          <w:lang w:val="ro-MD"/>
        </w:rPr>
        <w:t>ce cuprind Bilanțul contabil, Raportul privind veniturile și cheltuielile, Raportul privind fluxul mijloacelor bănești, Raportul privind executarea bugetului, Raportul narativ privind executarea bugetului, pentru exerciți</w:t>
      </w:r>
      <w:r w:rsidR="002E5048">
        <w:rPr>
          <w:rFonts w:asciiTheme="majorHAnsi" w:hAnsiTheme="majorHAnsi"/>
          <w:sz w:val="28"/>
          <w:szCs w:val="28"/>
          <w:lang w:val="ro-MD"/>
        </w:rPr>
        <w:t>u</w:t>
      </w:r>
      <w:r w:rsidR="002B4AB7">
        <w:rPr>
          <w:rFonts w:asciiTheme="majorHAnsi" w:hAnsiTheme="majorHAnsi"/>
          <w:sz w:val="28"/>
          <w:szCs w:val="28"/>
          <w:lang w:val="ro-MD"/>
        </w:rPr>
        <w:t>l încheiat la 31 decembrie 2019</w:t>
      </w:r>
      <w:r>
        <w:rPr>
          <w:rFonts w:asciiTheme="majorHAnsi" w:hAnsiTheme="majorHAnsi"/>
          <w:sz w:val="28"/>
          <w:szCs w:val="28"/>
          <w:lang w:val="ro-MD"/>
        </w:rPr>
        <w:t xml:space="preserve">, cu excepția efectelor </w:t>
      </w:r>
      <w:r>
        <w:rPr>
          <w:rFonts w:asciiTheme="majorHAnsi" w:hAnsiTheme="majorHAnsi"/>
          <w:sz w:val="28"/>
          <w:szCs w:val="28"/>
          <w:lang w:val="ro-MD"/>
        </w:rPr>
        <w:lastRenderedPageBreak/>
        <w:t>unor aspecte, oferă, sub toate aspectele semnificative, o imagine corectă și fidelă în conformitate cu cerințele normelor de contabilitate și de raportare financiară în sistemul bugetar din Republica Moldova</w:t>
      </w:r>
      <w:r>
        <w:rPr>
          <w:rStyle w:val="FootnoteReference1"/>
          <w:rFonts w:asciiTheme="majorHAnsi" w:hAnsiTheme="majorHAnsi"/>
          <w:sz w:val="28"/>
          <w:szCs w:val="28"/>
          <w:lang w:val="ro-MD"/>
        </w:rPr>
        <w:footnoteReference w:id="5"/>
      </w:r>
      <w:r>
        <w:rPr>
          <w:rFonts w:asciiTheme="majorHAnsi" w:hAnsiTheme="majorHAnsi"/>
          <w:sz w:val="28"/>
          <w:szCs w:val="28"/>
          <w:lang w:val="ro-MD"/>
        </w:rPr>
        <w:t>.</w:t>
      </w:r>
    </w:p>
    <w:p w:rsidR="00474259" w:rsidRDefault="00474259" w:rsidP="00474259">
      <w:pPr>
        <w:pStyle w:val="NormalWeb"/>
        <w:spacing w:line="276" w:lineRule="auto"/>
        <w:rPr>
          <w:rFonts w:asciiTheme="majorHAnsi" w:hAnsiTheme="majorHAnsi"/>
          <w:sz w:val="28"/>
          <w:szCs w:val="28"/>
          <w:lang w:val="ro-MD" w:eastAsia="ro-MD"/>
        </w:rPr>
      </w:pPr>
      <w:r>
        <w:rPr>
          <w:rFonts w:asciiTheme="majorHAnsi" w:hAnsiTheme="majorHAnsi"/>
          <w:sz w:val="28"/>
          <w:szCs w:val="28"/>
          <w:lang w:val="ro-MD" w:eastAsia="ro-MD"/>
        </w:rPr>
        <w:t xml:space="preserve">Observațiile de audit au servit drept bază pentru exprimarea opiniei cu rezerve asupra rapoartelor financiare ale </w:t>
      </w:r>
      <w:r w:rsidR="002E5048">
        <w:rPr>
          <w:rFonts w:asciiTheme="majorHAnsi" w:hAnsiTheme="majorHAnsi"/>
          <w:sz w:val="28"/>
          <w:szCs w:val="28"/>
          <w:lang w:val="ro-MD" w:eastAsia="ro-MD"/>
        </w:rPr>
        <w:t>Autorității Naționale de Integritate</w:t>
      </w:r>
      <w:r>
        <w:rPr>
          <w:rFonts w:asciiTheme="majorHAnsi" w:hAnsiTheme="majorHAnsi"/>
          <w:sz w:val="28"/>
          <w:szCs w:val="28"/>
          <w:lang w:val="ro-MD" w:eastAsia="ro-MD"/>
        </w:rPr>
        <w:t xml:space="preserve"> încheiate la 31 decembrie</w:t>
      </w:r>
      <w:r w:rsidR="00B92937">
        <w:rPr>
          <w:rFonts w:asciiTheme="majorHAnsi" w:hAnsiTheme="majorHAnsi"/>
          <w:sz w:val="28"/>
          <w:szCs w:val="28"/>
          <w:lang w:val="ro-MD" w:eastAsia="ro-MD"/>
        </w:rPr>
        <w:t xml:space="preserve"> 2019</w:t>
      </w:r>
      <w:r>
        <w:rPr>
          <w:rFonts w:asciiTheme="majorHAnsi" w:hAnsiTheme="majorHAnsi"/>
          <w:sz w:val="28"/>
          <w:szCs w:val="28"/>
          <w:lang w:val="ro-MD" w:eastAsia="ro-MD"/>
        </w:rPr>
        <w:t>.</w:t>
      </w:r>
    </w:p>
    <w:p w:rsidR="00474259" w:rsidRDefault="00474259" w:rsidP="00474259">
      <w:pPr>
        <w:pStyle w:val="NormalWeb"/>
        <w:spacing w:line="276" w:lineRule="auto"/>
        <w:rPr>
          <w:rFonts w:asciiTheme="majorHAnsi" w:hAnsiTheme="majorHAnsi"/>
          <w:sz w:val="28"/>
          <w:szCs w:val="28"/>
          <w:lang w:val="ro-MD"/>
        </w:rPr>
      </w:pPr>
      <w:r>
        <w:rPr>
          <w:rFonts w:asciiTheme="majorHAnsi" w:hAnsiTheme="majorHAnsi"/>
          <w:sz w:val="28"/>
          <w:szCs w:val="28"/>
          <w:lang w:val="ro-MD"/>
        </w:rPr>
        <w:t>Reieșind din cele expuse, în temeiul art.14 alin.(2)</w:t>
      </w:r>
      <w:r w:rsidR="00CB3023">
        <w:rPr>
          <w:rFonts w:asciiTheme="majorHAnsi" w:hAnsiTheme="majorHAnsi"/>
          <w:sz w:val="28"/>
          <w:szCs w:val="28"/>
          <w:lang w:val="ro-MD"/>
        </w:rPr>
        <w:t>,</w:t>
      </w:r>
      <w:r>
        <w:rPr>
          <w:rFonts w:asciiTheme="majorHAnsi" w:hAnsiTheme="majorHAnsi"/>
          <w:sz w:val="28"/>
          <w:szCs w:val="28"/>
          <w:lang w:val="ro-MD"/>
        </w:rPr>
        <w:t xml:space="preserve"> art.15 lit.d)</w:t>
      </w:r>
      <w:r w:rsidR="00CB3023">
        <w:rPr>
          <w:rFonts w:asciiTheme="majorHAnsi" w:hAnsiTheme="majorHAnsi"/>
          <w:sz w:val="28"/>
          <w:szCs w:val="28"/>
          <w:lang w:val="ro-MD"/>
        </w:rPr>
        <w:t xml:space="preserve"> și art.37 alin.(2)</w:t>
      </w:r>
      <w:r w:rsidR="004E0F0D">
        <w:rPr>
          <w:rFonts w:asciiTheme="majorHAnsi" w:hAnsiTheme="majorHAnsi"/>
          <w:sz w:val="28"/>
          <w:szCs w:val="28"/>
          <w:lang w:val="ro-MD"/>
        </w:rPr>
        <w:t xml:space="preserve"> </w:t>
      </w:r>
      <w:r>
        <w:rPr>
          <w:rFonts w:asciiTheme="majorHAnsi" w:hAnsiTheme="majorHAnsi"/>
          <w:sz w:val="28"/>
          <w:szCs w:val="28"/>
          <w:lang w:val="ro-MD"/>
        </w:rPr>
        <w:t>din Legea nr.260 din 07.12.2017, Curtea de Conturi</w:t>
      </w:r>
    </w:p>
    <w:p w:rsidR="00474259" w:rsidRDefault="00474259" w:rsidP="00474259">
      <w:pPr>
        <w:pStyle w:val="cp"/>
        <w:spacing w:line="276" w:lineRule="auto"/>
        <w:rPr>
          <w:rFonts w:asciiTheme="majorHAnsi" w:hAnsiTheme="majorHAnsi"/>
          <w:sz w:val="28"/>
          <w:szCs w:val="28"/>
          <w:lang w:val="ro-MD"/>
        </w:rPr>
      </w:pPr>
      <w:r>
        <w:rPr>
          <w:rFonts w:asciiTheme="majorHAnsi" w:hAnsiTheme="majorHAnsi"/>
          <w:sz w:val="28"/>
          <w:szCs w:val="28"/>
          <w:lang w:val="ro-MD"/>
        </w:rPr>
        <w:t>HOTĂRĂŞTE:</w:t>
      </w:r>
    </w:p>
    <w:p w:rsidR="00474259" w:rsidRDefault="00474259" w:rsidP="00C045EC">
      <w:pPr>
        <w:pStyle w:val="NormalWeb"/>
        <w:spacing w:line="276" w:lineRule="auto"/>
        <w:rPr>
          <w:rFonts w:asciiTheme="majorHAnsi" w:hAnsiTheme="majorHAnsi"/>
          <w:sz w:val="28"/>
          <w:szCs w:val="28"/>
          <w:lang w:val="ro-MD"/>
        </w:rPr>
      </w:pPr>
      <w:r>
        <w:rPr>
          <w:rFonts w:asciiTheme="majorHAnsi" w:hAnsiTheme="majorHAnsi"/>
          <w:b/>
          <w:bCs/>
          <w:sz w:val="28"/>
          <w:szCs w:val="28"/>
          <w:lang w:val="ro-MD"/>
        </w:rPr>
        <w:t>1.</w:t>
      </w:r>
      <w:r>
        <w:rPr>
          <w:rFonts w:asciiTheme="majorHAnsi" w:hAnsiTheme="majorHAnsi"/>
          <w:sz w:val="28"/>
          <w:szCs w:val="28"/>
          <w:lang w:val="ro-MD"/>
        </w:rPr>
        <w:t xml:space="preserve"> Se aprobă Raportul auditului </w:t>
      </w:r>
      <w:r w:rsidR="004E0F0D">
        <w:rPr>
          <w:rFonts w:asciiTheme="majorHAnsi" w:hAnsiTheme="majorHAnsi"/>
          <w:sz w:val="28"/>
          <w:szCs w:val="28"/>
          <w:lang w:val="ro-MD"/>
        </w:rPr>
        <w:t xml:space="preserve">asupra </w:t>
      </w:r>
      <w:r>
        <w:rPr>
          <w:rFonts w:asciiTheme="majorHAnsi" w:hAnsiTheme="majorHAnsi"/>
          <w:sz w:val="28"/>
          <w:szCs w:val="28"/>
          <w:lang w:val="ro-MD"/>
        </w:rPr>
        <w:t xml:space="preserve">rapoartelor financiare ale </w:t>
      </w:r>
      <w:r w:rsidR="002E5048">
        <w:rPr>
          <w:rFonts w:asciiTheme="majorHAnsi" w:hAnsiTheme="majorHAnsi"/>
          <w:sz w:val="28"/>
          <w:szCs w:val="28"/>
          <w:lang w:val="ro-MD"/>
        </w:rPr>
        <w:t>Autorității Naționale de Integritat</w:t>
      </w:r>
      <w:r w:rsidR="00B92937">
        <w:rPr>
          <w:rFonts w:asciiTheme="majorHAnsi" w:hAnsiTheme="majorHAnsi"/>
          <w:sz w:val="28"/>
          <w:szCs w:val="28"/>
          <w:lang w:val="ro-MD"/>
        </w:rPr>
        <w:t>e încheiate la 31 decembrie 2019</w:t>
      </w:r>
      <w:r w:rsidR="00D242E9">
        <w:rPr>
          <w:rFonts w:asciiTheme="majorHAnsi" w:hAnsiTheme="majorHAnsi"/>
          <w:sz w:val="28"/>
          <w:szCs w:val="28"/>
          <w:lang w:val="ro-MD"/>
        </w:rPr>
        <w:t>, anexat la prezenta Hotărâre</w:t>
      </w:r>
      <w:r>
        <w:rPr>
          <w:rFonts w:asciiTheme="majorHAnsi" w:hAnsiTheme="majorHAnsi"/>
          <w:sz w:val="28"/>
          <w:szCs w:val="28"/>
          <w:lang w:val="ro-MD"/>
        </w:rPr>
        <w:t>.</w:t>
      </w:r>
    </w:p>
    <w:p w:rsidR="00474259" w:rsidRDefault="00474259" w:rsidP="00C045EC">
      <w:pPr>
        <w:pStyle w:val="NormalWeb"/>
        <w:spacing w:line="276" w:lineRule="auto"/>
        <w:rPr>
          <w:rFonts w:asciiTheme="majorHAnsi" w:hAnsiTheme="majorHAnsi"/>
          <w:sz w:val="28"/>
          <w:szCs w:val="28"/>
          <w:lang w:val="ro-MD"/>
        </w:rPr>
      </w:pPr>
      <w:r>
        <w:rPr>
          <w:rFonts w:asciiTheme="majorHAnsi" w:hAnsiTheme="majorHAnsi"/>
          <w:b/>
          <w:bCs/>
          <w:sz w:val="28"/>
          <w:szCs w:val="28"/>
          <w:lang w:val="ro-MD"/>
        </w:rPr>
        <w:t>2.</w:t>
      </w:r>
      <w:r>
        <w:rPr>
          <w:rFonts w:asciiTheme="majorHAnsi" w:hAnsiTheme="majorHAnsi"/>
          <w:sz w:val="28"/>
          <w:szCs w:val="28"/>
          <w:lang w:val="ro-MD"/>
        </w:rPr>
        <w:t xml:space="preserve"> Prezenta Hotărâre și Raportul de audit se remit:</w:t>
      </w:r>
    </w:p>
    <w:p w:rsidR="00474259" w:rsidRDefault="00474259" w:rsidP="00C045EC">
      <w:pPr>
        <w:pStyle w:val="NormalWeb"/>
        <w:spacing w:line="276" w:lineRule="auto"/>
        <w:rPr>
          <w:rFonts w:asciiTheme="majorHAnsi" w:hAnsiTheme="majorHAnsi"/>
          <w:sz w:val="28"/>
          <w:szCs w:val="28"/>
          <w:lang w:val="ro-MD"/>
        </w:rPr>
      </w:pPr>
      <w:r>
        <w:rPr>
          <w:rFonts w:asciiTheme="majorHAnsi" w:hAnsiTheme="majorHAnsi"/>
          <w:b/>
          <w:sz w:val="28"/>
          <w:szCs w:val="28"/>
          <w:lang w:val="ro-MD"/>
        </w:rPr>
        <w:t>2.1.</w:t>
      </w:r>
      <w:r>
        <w:rPr>
          <w:rFonts w:asciiTheme="majorHAnsi" w:hAnsiTheme="majorHAnsi"/>
          <w:sz w:val="28"/>
          <w:szCs w:val="28"/>
          <w:lang w:val="ro-MD"/>
        </w:rPr>
        <w:t xml:space="preserve"> </w:t>
      </w:r>
      <w:r w:rsidR="002E5048">
        <w:rPr>
          <w:rFonts w:asciiTheme="majorHAnsi" w:hAnsiTheme="majorHAnsi"/>
          <w:b/>
          <w:sz w:val="28"/>
          <w:szCs w:val="28"/>
          <w:lang w:val="ro-MD"/>
        </w:rPr>
        <w:t>Autorității Naționale de Integritate</w:t>
      </w:r>
      <w:r>
        <w:rPr>
          <w:rFonts w:asciiTheme="majorHAnsi" w:hAnsiTheme="majorHAnsi"/>
          <w:b/>
          <w:sz w:val="28"/>
          <w:szCs w:val="28"/>
          <w:lang w:val="ro-MD"/>
        </w:rPr>
        <w:t>,</w:t>
      </w:r>
      <w:r>
        <w:rPr>
          <w:rFonts w:asciiTheme="majorHAnsi" w:hAnsiTheme="majorHAnsi"/>
          <w:sz w:val="28"/>
          <w:szCs w:val="28"/>
          <w:lang w:val="ro-MD"/>
        </w:rPr>
        <w:t xml:space="preserve"> pentru luare de atitudine și asigurarea implementării recomandărilor, după cum urmează:</w:t>
      </w:r>
    </w:p>
    <w:p w:rsidR="00474259" w:rsidRPr="00EB6F14" w:rsidRDefault="00474259" w:rsidP="00C045EC">
      <w:pPr>
        <w:pStyle w:val="NormalWeb"/>
        <w:spacing w:line="276" w:lineRule="auto"/>
        <w:rPr>
          <w:rFonts w:asciiTheme="majorHAnsi" w:hAnsiTheme="majorHAnsi"/>
          <w:sz w:val="28"/>
          <w:szCs w:val="28"/>
          <w:lang w:val="ro-MD"/>
        </w:rPr>
      </w:pPr>
      <w:r w:rsidRPr="00FC7DF0">
        <w:rPr>
          <w:rFonts w:asciiTheme="majorHAnsi" w:hAnsiTheme="majorHAnsi"/>
          <w:b/>
          <w:bCs/>
          <w:sz w:val="28"/>
          <w:szCs w:val="28"/>
          <w:lang w:val="ro-MD"/>
        </w:rPr>
        <w:t>2.1.1.</w:t>
      </w:r>
      <w:r w:rsidR="004E0F0D">
        <w:rPr>
          <w:rFonts w:asciiTheme="majorHAnsi" w:hAnsiTheme="majorHAnsi"/>
          <w:b/>
          <w:bCs/>
          <w:sz w:val="28"/>
          <w:szCs w:val="28"/>
          <w:lang w:val="ro-MD"/>
        </w:rPr>
        <w:t xml:space="preserve"> </w:t>
      </w:r>
      <w:r w:rsidR="002B7A40" w:rsidRPr="00FC7DF0">
        <w:rPr>
          <w:rFonts w:asciiTheme="majorHAnsi" w:hAnsiTheme="majorHAnsi"/>
          <w:sz w:val="28"/>
          <w:szCs w:val="28"/>
          <w:lang w:val="ro-MD"/>
        </w:rPr>
        <w:t xml:space="preserve">să </w:t>
      </w:r>
      <w:r w:rsidR="00EB6F14" w:rsidRPr="00FC7DF0">
        <w:rPr>
          <w:rFonts w:asciiTheme="majorHAnsi" w:hAnsiTheme="majorHAnsi"/>
          <w:sz w:val="28"/>
          <w:szCs w:val="28"/>
          <w:lang w:val="ro-MD"/>
        </w:rPr>
        <w:t>înregistreze</w:t>
      </w:r>
      <w:r w:rsidR="004E0F0D">
        <w:rPr>
          <w:rFonts w:asciiTheme="majorHAnsi" w:hAnsiTheme="majorHAnsi"/>
          <w:sz w:val="28"/>
          <w:szCs w:val="28"/>
          <w:lang w:val="ro-MD"/>
        </w:rPr>
        <w:t>,</w:t>
      </w:r>
      <w:r w:rsidR="00EB6F14" w:rsidRPr="00FC7DF0">
        <w:rPr>
          <w:rFonts w:asciiTheme="majorHAnsi" w:hAnsiTheme="majorHAnsi"/>
          <w:sz w:val="28"/>
          <w:szCs w:val="28"/>
          <w:lang w:val="ro-MD"/>
        </w:rPr>
        <w:t xml:space="preserve"> în evidența </w:t>
      </w:r>
      <w:r w:rsidR="002B7A40" w:rsidRPr="00FC7DF0">
        <w:rPr>
          <w:rFonts w:asciiTheme="majorHAnsi" w:hAnsiTheme="majorHAnsi"/>
          <w:sz w:val="28"/>
          <w:szCs w:val="28"/>
          <w:lang w:val="ro-MD"/>
        </w:rPr>
        <w:t>contabilă</w:t>
      </w:r>
      <w:r w:rsidR="004E0F0D">
        <w:rPr>
          <w:rFonts w:asciiTheme="majorHAnsi" w:hAnsiTheme="majorHAnsi"/>
          <w:sz w:val="28"/>
          <w:szCs w:val="28"/>
          <w:lang w:val="ro-MD"/>
        </w:rPr>
        <w:t>,</w:t>
      </w:r>
      <w:r w:rsidR="00EB6F14" w:rsidRPr="00FC7DF0">
        <w:rPr>
          <w:rFonts w:asciiTheme="majorHAnsi" w:hAnsiTheme="majorHAnsi"/>
          <w:sz w:val="28"/>
          <w:szCs w:val="28"/>
          <w:lang w:val="ro-MD"/>
        </w:rPr>
        <w:t xml:space="preserve"> mijloacele</w:t>
      </w:r>
      <w:r w:rsidR="00466739" w:rsidRPr="00FC7DF0">
        <w:rPr>
          <w:rFonts w:asciiTheme="majorHAnsi" w:hAnsiTheme="majorHAnsi"/>
          <w:sz w:val="28"/>
          <w:szCs w:val="28"/>
          <w:lang w:val="ro-MD"/>
        </w:rPr>
        <w:t xml:space="preserve"> fixe</w:t>
      </w:r>
      <w:r w:rsidR="00EB6F14" w:rsidRPr="00FC7DF0">
        <w:rPr>
          <w:rFonts w:asciiTheme="majorHAnsi" w:hAnsiTheme="majorHAnsi"/>
          <w:sz w:val="28"/>
          <w:szCs w:val="28"/>
          <w:lang w:val="ro-MD"/>
        </w:rPr>
        <w:t xml:space="preserve"> în componența grupului „Mașini și utilaje”</w:t>
      </w:r>
      <w:r w:rsidR="00FC7DF0" w:rsidRPr="00FC7DF0">
        <w:rPr>
          <w:rFonts w:asciiTheme="majorHAnsi" w:hAnsiTheme="majorHAnsi"/>
          <w:sz w:val="28"/>
          <w:szCs w:val="28"/>
          <w:lang w:val="ro-MD"/>
        </w:rPr>
        <w:t>, care au fost înregistrate necorespunzător în componența</w:t>
      </w:r>
      <w:r w:rsidR="00466739" w:rsidRPr="00FC7DF0">
        <w:rPr>
          <w:rFonts w:asciiTheme="majorHAnsi" w:hAnsiTheme="majorHAnsi"/>
          <w:sz w:val="28"/>
          <w:szCs w:val="28"/>
          <w:lang w:val="ro-MD"/>
        </w:rPr>
        <w:t xml:space="preserve"> </w:t>
      </w:r>
      <w:r w:rsidR="00D4343B">
        <w:rPr>
          <w:rFonts w:asciiTheme="majorHAnsi" w:hAnsiTheme="majorHAnsi"/>
          <w:sz w:val="28"/>
          <w:szCs w:val="28"/>
          <w:lang w:val="ro-MD"/>
        </w:rPr>
        <w:t xml:space="preserve">grupului </w:t>
      </w:r>
      <w:r w:rsidR="00FC7DF0" w:rsidRPr="00FC7DF0">
        <w:rPr>
          <w:rFonts w:asciiTheme="majorHAnsi" w:hAnsiTheme="majorHAnsi"/>
          <w:sz w:val="28"/>
          <w:szCs w:val="28"/>
          <w:lang w:val="ro-MD"/>
        </w:rPr>
        <w:t>„Clădiri”</w:t>
      </w:r>
      <w:r w:rsidR="00607DD3" w:rsidRPr="00FC7DF0">
        <w:rPr>
          <w:rFonts w:asciiTheme="majorHAnsi" w:hAnsiTheme="majorHAnsi"/>
          <w:sz w:val="28"/>
          <w:szCs w:val="28"/>
          <w:lang w:val="ro-MD"/>
        </w:rPr>
        <w:t>;</w:t>
      </w:r>
    </w:p>
    <w:p w:rsidR="00474259" w:rsidRPr="00EB6F14" w:rsidRDefault="00474259" w:rsidP="00C045EC">
      <w:pPr>
        <w:pStyle w:val="NormalWeb"/>
        <w:spacing w:line="276" w:lineRule="auto"/>
        <w:rPr>
          <w:rFonts w:asciiTheme="majorHAnsi" w:hAnsiTheme="majorHAnsi"/>
          <w:sz w:val="28"/>
          <w:szCs w:val="28"/>
          <w:lang w:val="ro-MD"/>
        </w:rPr>
      </w:pPr>
      <w:r w:rsidRPr="00EB6F14">
        <w:rPr>
          <w:rFonts w:asciiTheme="majorHAnsi" w:hAnsiTheme="majorHAnsi"/>
          <w:b/>
          <w:sz w:val="28"/>
          <w:szCs w:val="28"/>
          <w:lang w:val="ro-MD"/>
        </w:rPr>
        <w:t>2.1.2.</w:t>
      </w:r>
      <w:r w:rsidR="004E0F0D">
        <w:rPr>
          <w:rFonts w:asciiTheme="majorHAnsi" w:hAnsiTheme="majorHAnsi"/>
          <w:sz w:val="28"/>
          <w:szCs w:val="28"/>
          <w:lang w:val="ro-MD"/>
        </w:rPr>
        <w:t xml:space="preserve"> </w:t>
      </w:r>
      <w:r w:rsidR="002B7A40" w:rsidRPr="00EB6F14">
        <w:rPr>
          <w:rFonts w:asciiTheme="majorHAnsi" w:hAnsiTheme="majorHAnsi"/>
          <w:sz w:val="28"/>
          <w:szCs w:val="28"/>
          <w:lang w:val="ro-MD"/>
        </w:rPr>
        <w:t>să acorde</w:t>
      </w:r>
      <w:r w:rsidR="00EB6F14">
        <w:rPr>
          <w:rFonts w:asciiTheme="majorHAnsi" w:hAnsiTheme="majorHAnsi"/>
          <w:sz w:val="28"/>
          <w:szCs w:val="28"/>
          <w:lang w:val="ro-MD"/>
        </w:rPr>
        <w:t xml:space="preserve"> concediile</w:t>
      </w:r>
      <w:r w:rsidR="002B7A40" w:rsidRPr="00EB6F14">
        <w:rPr>
          <w:rFonts w:asciiTheme="majorHAnsi" w:hAnsiTheme="majorHAnsi"/>
          <w:sz w:val="28"/>
          <w:szCs w:val="28"/>
          <w:lang w:val="ro-MD"/>
        </w:rPr>
        <w:t xml:space="preserve"> anuale </w:t>
      </w:r>
      <w:r w:rsidR="006C24CB" w:rsidRPr="00EB6F14">
        <w:rPr>
          <w:rFonts w:asciiTheme="majorHAnsi" w:hAnsiTheme="majorHAnsi"/>
          <w:sz w:val="28"/>
          <w:szCs w:val="28"/>
          <w:lang w:val="ro-MD"/>
        </w:rPr>
        <w:t>potrivit</w:t>
      </w:r>
      <w:r w:rsidR="002B7A40" w:rsidRPr="00EB6F14">
        <w:rPr>
          <w:rFonts w:asciiTheme="majorHAnsi" w:hAnsiTheme="majorHAnsi"/>
          <w:sz w:val="28"/>
          <w:szCs w:val="28"/>
          <w:lang w:val="ro-MD"/>
        </w:rPr>
        <w:t xml:space="preserve"> reg</w:t>
      </w:r>
      <w:r w:rsidR="006C24CB" w:rsidRPr="00EB6F14">
        <w:rPr>
          <w:rFonts w:asciiTheme="majorHAnsi" w:hAnsiTheme="majorHAnsi"/>
          <w:sz w:val="28"/>
          <w:szCs w:val="28"/>
          <w:lang w:val="ro-MD"/>
        </w:rPr>
        <w:t>lementărilor</w:t>
      </w:r>
      <w:r w:rsidR="002B7A40" w:rsidRPr="00EB6F14">
        <w:rPr>
          <w:rFonts w:asciiTheme="majorHAnsi" w:hAnsiTheme="majorHAnsi"/>
          <w:sz w:val="28"/>
          <w:szCs w:val="28"/>
          <w:lang w:val="ro-MD"/>
        </w:rPr>
        <w:t xml:space="preserve"> în vigoare</w:t>
      </w:r>
      <w:r w:rsidR="002F3F93" w:rsidRPr="00EB6F14">
        <w:rPr>
          <w:rFonts w:asciiTheme="majorHAnsi" w:hAnsiTheme="majorHAnsi"/>
          <w:sz w:val="28"/>
          <w:szCs w:val="28"/>
          <w:lang w:val="ro-MD"/>
        </w:rPr>
        <w:t>;</w:t>
      </w:r>
    </w:p>
    <w:p w:rsidR="002E5048" w:rsidRPr="00EB6F14" w:rsidRDefault="00474259" w:rsidP="00C045EC">
      <w:pPr>
        <w:pStyle w:val="NormalWeb"/>
        <w:spacing w:line="276" w:lineRule="auto"/>
        <w:rPr>
          <w:rFonts w:asciiTheme="majorHAnsi" w:hAnsiTheme="majorHAnsi"/>
          <w:sz w:val="28"/>
          <w:szCs w:val="28"/>
          <w:lang w:val="ro-MD"/>
        </w:rPr>
      </w:pPr>
      <w:r w:rsidRPr="00EB6F14">
        <w:rPr>
          <w:rFonts w:asciiTheme="majorHAnsi" w:hAnsiTheme="majorHAnsi"/>
          <w:b/>
          <w:sz w:val="28"/>
          <w:szCs w:val="28"/>
          <w:lang w:val="ro-MD"/>
        </w:rPr>
        <w:t>2.1.3.</w:t>
      </w:r>
      <w:r w:rsidR="00EB6F14" w:rsidRPr="00EB6F14">
        <w:rPr>
          <w:rFonts w:asciiTheme="majorHAnsi" w:hAnsiTheme="majorHAnsi"/>
          <w:b/>
          <w:sz w:val="28"/>
          <w:szCs w:val="28"/>
          <w:lang w:val="ro-MD"/>
        </w:rPr>
        <w:t xml:space="preserve"> </w:t>
      </w:r>
      <w:r w:rsidR="00EB6F14" w:rsidRPr="00EB6F14">
        <w:rPr>
          <w:rFonts w:asciiTheme="majorHAnsi" w:hAnsiTheme="majorHAnsi"/>
          <w:sz w:val="28"/>
          <w:szCs w:val="28"/>
          <w:lang w:val="ro-MD"/>
        </w:rPr>
        <w:t>să asigure descrierea, adoptarea și gestionarea proceselor operaționale aferente reparațiilor și investițiilor capitale</w:t>
      </w:r>
      <w:r w:rsidR="002F3F93" w:rsidRPr="00EB6F14">
        <w:rPr>
          <w:rFonts w:asciiTheme="majorHAnsi" w:hAnsiTheme="majorHAnsi"/>
          <w:sz w:val="28"/>
          <w:szCs w:val="28"/>
          <w:lang w:val="ro-MD"/>
        </w:rPr>
        <w:t>;</w:t>
      </w:r>
    </w:p>
    <w:p w:rsidR="00474259" w:rsidRPr="00EB6F14" w:rsidRDefault="00474259" w:rsidP="00C045EC">
      <w:pPr>
        <w:pStyle w:val="NormalWeb"/>
        <w:spacing w:line="276" w:lineRule="auto"/>
        <w:rPr>
          <w:rFonts w:asciiTheme="majorHAnsi" w:hAnsiTheme="majorHAnsi"/>
          <w:sz w:val="28"/>
          <w:szCs w:val="28"/>
          <w:lang w:val="ro-MD"/>
        </w:rPr>
      </w:pPr>
      <w:r w:rsidRPr="00EB6F14">
        <w:rPr>
          <w:rFonts w:asciiTheme="majorHAnsi" w:hAnsiTheme="majorHAnsi"/>
          <w:b/>
          <w:sz w:val="28"/>
          <w:szCs w:val="28"/>
          <w:lang w:val="ro-MD"/>
        </w:rPr>
        <w:t>2.1.4.</w:t>
      </w:r>
      <w:r w:rsidR="00EB6F14" w:rsidRPr="00EB6F14">
        <w:rPr>
          <w:rFonts w:asciiTheme="majorHAnsi" w:hAnsiTheme="majorHAnsi"/>
          <w:b/>
          <w:sz w:val="28"/>
          <w:szCs w:val="28"/>
          <w:lang w:val="ro-MD"/>
        </w:rPr>
        <w:t xml:space="preserve"> </w:t>
      </w:r>
      <w:r w:rsidR="00EB6F14" w:rsidRPr="00EB6F14">
        <w:rPr>
          <w:rFonts w:asciiTheme="majorHAnsi" w:hAnsiTheme="majorHAnsi"/>
          <w:bCs/>
          <w:sz w:val="28"/>
          <w:szCs w:val="28"/>
          <w:lang w:val="ro-RO"/>
        </w:rPr>
        <w:t xml:space="preserve">să </w:t>
      </w:r>
      <w:r w:rsidR="00EB6F14">
        <w:rPr>
          <w:rFonts w:asciiTheme="majorHAnsi" w:hAnsiTheme="majorHAnsi"/>
          <w:bCs/>
          <w:sz w:val="28"/>
          <w:szCs w:val="28"/>
          <w:lang w:val="ro-RO"/>
        </w:rPr>
        <w:t>efectueze</w:t>
      </w:r>
      <w:r w:rsidR="00EB6F14" w:rsidRPr="00EB6F14">
        <w:rPr>
          <w:rFonts w:asciiTheme="majorHAnsi" w:hAnsiTheme="majorHAnsi"/>
          <w:bCs/>
          <w:sz w:val="28"/>
          <w:szCs w:val="28"/>
          <w:lang w:val="ro-RO"/>
        </w:rPr>
        <w:t xml:space="preserve"> inventarierea bunurilor amplasate pe terenul aflat în gestiune</w:t>
      </w:r>
      <w:r w:rsidR="004E0F0D">
        <w:rPr>
          <w:rFonts w:asciiTheme="majorHAnsi" w:hAnsiTheme="majorHAnsi"/>
          <w:bCs/>
          <w:sz w:val="28"/>
          <w:szCs w:val="28"/>
          <w:lang w:val="ro-RO"/>
        </w:rPr>
        <w:t>,</w:t>
      </w:r>
      <w:r w:rsidR="00EB6F14" w:rsidRPr="00EB6F14">
        <w:rPr>
          <w:rFonts w:asciiTheme="majorHAnsi" w:hAnsiTheme="majorHAnsi"/>
          <w:bCs/>
          <w:sz w:val="28"/>
          <w:szCs w:val="28"/>
          <w:lang w:val="ro-RO"/>
        </w:rPr>
        <w:t xml:space="preserve"> c</w:t>
      </w:r>
      <w:r w:rsidR="00581C86">
        <w:rPr>
          <w:rFonts w:asciiTheme="majorHAnsi" w:hAnsiTheme="majorHAnsi"/>
          <w:bCs/>
          <w:sz w:val="28"/>
          <w:szCs w:val="28"/>
          <w:lang w:val="ro-RO"/>
        </w:rPr>
        <w:t>u înregistrarea corespunzătoare</w:t>
      </w:r>
      <w:r w:rsidR="00EB6F14" w:rsidRPr="00EB6F14">
        <w:rPr>
          <w:rFonts w:asciiTheme="majorHAnsi" w:hAnsiTheme="majorHAnsi"/>
          <w:bCs/>
          <w:sz w:val="28"/>
          <w:szCs w:val="28"/>
          <w:lang w:val="ro-RO"/>
        </w:rPr>
        <w:t xml:space="preserve"> a acestora în evidența contabilă</w:t>
      </w:r>
      <w:r w:rsidR="004E0F0D">
        <w:rPr>
          <w:rFonts w:asciiTheme="majorHAnsi" w:hAnsiTheme="majorHAnsi"/>
          <w:sz w:val="28"/>
          <w:szCs w:val="28"/>
          <w:lang w:val="ro-MD"/>
        </w:rPr>
        <w:t>;</w:t>
      </w:r>
    </w:p>
    <w:p w:rsidR="007820FB" w:rsidRDefault="007820FB" w:rsidP="00C045EC">
      <w:pPr>
        <w:pStyle w:val="NormalWeb"/>
        <w:spacing w:line="276" w:lineRule="auto"/>
        <w:rPr>
          <w:rFonts w:asciiTheme="majorHAnsi" w:hAnsiTheme="majorHAnsi"/>
          <w:b/>
          <w:bCs/>
          <w:sz w:val="28"/>
          <w:szCs w:val="28"/>
          <w:lang w:val="ro-MD"/>
        </w:rPr>
      </w:pPr>
      <w:r w:rsidRPr="007820FB">
        <w:rPr>
          <w:rFonts w:asciiTheme="majorHAnsi" w:hAnsiTheme="majorHAnsi"/>
          <w:b/>
          <w:bCs/>
          <w:sz w:val="28"/>
          <w:szCs w:val="28"/>
          <w:lang w:val="ro-MD"/>
        </w:rPr>
        <w:t xml:space="preserve">2.2. Ministerului Finanțelor, </w:t>
      </w:r>
      <w:r w:rsidRPr="007820FB">
        <w:rPr>
          <w:rFonts w:asciiTheme="majorHAnsi" w:hAnsiTheme="majorHAnsi"/>
          <w:bCs/>
          <w:sz w:val="28"/>
          <w:szCs w:val="28"/>
          <w:lang w:val="ro-MD"/>
        </w:rPr>
        <w:t>pentru informare și revizuire a Normelor metodologice privind evidența contabilă</w:t>
      </w:r>
      <w:r w:rsidR="00BE2654">
        <w:rPr>
          <w:rFonts w:asciiTheme="majorHAnsi" w:hAnsiTheme="majorHAnsi"/>
          <w:bCs/>
          <w:sz w:val="28"/>
          <w:szCs w:val="28"/>
          <w:lang w:val="ro-MD"/>
        </w:rPr>
        <w:t>,</w:t>
      </w:r>
      <w:r w:rsidRPr="007820FB">
        <w:rPr>
          <w:rFonts w:asciiTheme="majorHAnsi" w:hAnsiTheme="majorHAnsi"/>
          <w:bCs/>
          <w:sz w:val="28"/>
          <w:szCs w:val="28"/>
          <w:lang w:val="ro-MD"/>
        </w:rPr>
        <w:t xml:space="preserve"> aplicate în sistemul bugetar</w:t>
      </w:r>
      <w:r w:rsidR="00BE2654">
        <w:rPr>
          <w:rFonts w:asciiTheme="majorHAnsi" w:hAnsiTheme="majorHAnsi"/>
          <w:bCs/>
          <w:sz w:val="28"/>
          <w:szCs w:val="28"/>
          <w:lang w:val="ro-MD"/>
        </w:rPr>
        <w:t>,</w:t>
      </w:r>
      <w:r w:rsidRPr="007820FB">
        <w:rPr>
          <w:rFonts w:asciiTheme="majorHAnsi" w:hAnsiTheme="majorHAnsi"/>
          <w:bCs/>
          <w:sz w:val="28"/>
          <w:szCs w:val="28"/>
          <w:lang w:val="ro-MD"/>
        </w:rPr>
        <w:t xml:space="preserve"> </w:t>
      </w:r>
      <w:r w:rsidRPr="007820FB">
        <w:rPr>
          <w:rFonts w:asciiTheme="majorHAnsi" w:hAnsiTheme="majorHAnsi"/>
          <w:sz w:val="28"/>
          <w:lang w:val="ro-MD"/>
        </w:rPr>
        <w:t xml:space="preserve">aferente contabilizării reparațiilor capitale a clădirilor, precum și contabilizării </w:t>
      </w:r>
      <w:r w:rsidRPr="007820FB">
        <w:rPr>
          <w:rFonts w:asciiTheme="majorHAnsi" w:hAnsiTheme="majorHAnsi" w:cstheme="majorHAnsi"/>
          <w:sz w:val="28"/>
          <w:shd w:val="clear" w:color="auto" w:fill="FFFFFF"/>
          <w:lang w:val="ro-MD"/>
        </w:rPr>
        <w:t>serviciilor T</w:t>
      </w:r>
      <w:r w:rsidR="00BE2654">
        <w:rPr>
          <w:rFonts w:asciiTheme="majorHAnsi" w:hAnsiTheme="majorHAnsi" w:cstheme="majorHAnsi"/>
          <w:sz w:val="28"/>
          <w:shd w:val="clear" w:color="auto" w:fill="FFFFFF"/>
          <w:lang w:val="ro-MD"/>
        </w:rPr>
        <w:t>I</w:t>
      </w:r>
      <w:r w:rsidRPr="007820FB">
        <w:rPr>
          <w:rFonts w:asciiTheme="majorHAnsi" w:hAnsiTheme="majorHAnsi" w:cstheme="majorHAnsi"/>
          <w:sz w:val="28"/>
          <w:shd w:val="clear" w:color="auto" w:fill="FFFFFF"/>
          <w:lang w:val="ro-MD"/>
        </w:rPr>
        <w:t xml:space="preserve">, ținând cont de particularitățile expuse în Raportul de audit, </w:t>
      </w:r>
      <w:r w:rsidR="00BE2654">
        <w:rPr>
          <w:rFonts w:asciiTheme="majorHAnsi" w:hAnsiTheme="majorHAnsi" w:cstheme="majorHAnsi"/>
          <w:sz w:val="28"/>
          <w:shd w:val="clear" w:color="auto" w:fill="FFFFFF"/>
          <w:lang w:val="ro-MD"/>
        </w:rPr>
        <w:t>în scopul</w:t>
      </w:r>
      <w:r w:rsidRPr="007820FB">
        <w:rPr>
          <w:rFonts w:asciiTheme="majorHAnsi" w:hAnsiTheme="majorHAnsi" w:cstheme="majorHAnsi"/>
          <w:sz w:val="28"/>
          <w:shd w:val="clear" w:color="auto" w:fill="FFFFFF"/>
          <w:lang w:val="ro-MD"/>
        </w:rPr>
        <w:t xml:space="preserve"> asigur</w:t>
      </w:r>
      <w:r w:rsidR="00BE2654">
        <w:rPr>
          <w:rFonts w:asciiTheme="majorHAnsi" w:hAnsiTheme="majorHAnsi" w:cstheme="majorHAnsi"/>
          <w:sz w:val="28"/>
          <w:shd w:val="clear" w:color="auto" w:fill="FFFFFF"/>
          <w:lang w:val="ro-MD"/>
        </w:rPr>
        <w:t>ării</w:t>
      </w:r>
      <w:r w:rsidRPr="007820FB">
        <w:rPr>
          <w:rFonts w:asciiTheme="majorHAnsi" w:hAnsiTheme="majorHAnsi" w:cstheme="majorHAnsi"/>
          <w:sz w:val="28"/>
          <w:shd w:val="clear" w:color="auto" w:fill="FFFFFF"/>
          <w:lang w:val="ro-MD"/>
        </w:rPr>
        <w:t xml:space="preserve"> aplic</w:t>
      </w:r>
      <w:r w:rsidR="00BE2654">
        <w:rPr>
          <w:rFonts w:asciiTheme="majorHAnsi" w:hAnsiTheme="majorHAnsi" w:cstheme="majorHAnsi"/>
          <w:sz w:val="28"/>
          <w:shd w:val="clear" w:color="auto" w:fill="FFFFFF"/>
          <w:lang w:val="ro-MD"/>
        </w:rPr>
        <w:t>ării</w:t>
      </w:r>
      <w:r w:rsidRPr="007820FB">
        <w:rPr>
          <w:rFonts w:asciiTheme="majorHAnsi" w:hAnsiTheme="majorHAnsi" w:cstheme="majorHAnsi"/>
          <w:sz w:val="28"/>
          <w:shd w:val="clear" w:color="auto" w:fill="FFFFFF"/>
          <w:lang w:val="ro-MD"/>
        </w:rPr>
        <w:t xml:space="preserve"> uniform</w:t>
      </w:r>
      <w:r w:rsidR="00BE2654">
        <w:rPr>
          <w:rFonts w:asciiTheme="majorHAnsi" w:hAnsiTheme="majorHAnsi" w:cstheme="majorHAnsi"/>
          <w:sz w:val="28"/>
          <w:shd w:val="clear" w:color="auto" w:fill="FFFFFF"/>
          <w:lang w:val="ro-MD"/>
        </w:rPr>
        <w:t>e</w:t>
      </w:r>
      <w:r w:rsidRPr="007820FB">
        <w:rPr>
          <w:rFonts w:asciiTheme="majorHAnsi" w:hAnsiTheme="majorHAnsi" w:cstheme="majorHAnsi"/>
          <w:sz w:val="28"/>
          <w:shd w:val="clear" w:color="auto" w:fill="FFFFFF"/>
          <w:lang w:val="ro-MD"/>
        </w:rPr>
        <w:t xml:space="preserve"> a normelor respective</w:t>
      </w:r>
      <w:r w:rsidR="00BE2654">
        <w:rPr>
          <w:rFonts w:asciiTheme="majorHAnsi" w:hAnsiTheme="majorHAnsi" w:cstheme="majorHAnsi"/>
          <w:sz w:val="28"/>
          <w:shd w:val="clear" w:color="auto" w:fill="FFFFFF"/>
          <w:lang w:val="ro-MD"/>
        </w:rPr>
        <w:t>;</w:t>
      </w:r>
    </w:p>
    <w:p w:rsidR="00474259" w:rsidRDefault="002F3F93" w:rsidP="00C045EC">
      <w:pPr>
        <w:pStyle w:val="NormalWeb"/>
        <w:spacing w:line="276" w:lineRule="auto"/>
        <w:rPr>
          <w:rFonts w:asciiTheme="majorHAnsi" w:hAnsiTheme="majorHAnsi"/>
          <w:sz w:val="28"/>
          <w:szCs w:val="28"/>
          <w:lang w:val="ro-MD"/>
        </w:rPr>
      </w:pPr>
      <w:r>
        <w:rPr>
          <w:rFonts w:asciiTheme="majorHAnsi" w:hAnsiTheme="majorHAnsi"/>
          <w:b/>
          <w:bCs/>
          <w:sz w:val="28"/>
          <w:szCs w:val="28"/>
          <w:lang w:val="ro-MD"/>
        </w:rPr>
        <w:t>2.</w:t>
      </w:r>
      <w:r w:rsidR="007820FB">
        <w:rPr>
          <w:rFonts w:asciiTheme="majorHAnsi" w:hAnsiTheme="majorHAnsi"/>
          <w:b/>
          <w:bCs/>
          <w:sz w:val="28"/>
          <w:szCs w:val="28"/>
          <w:lang w:val="ro-MD"/>
        </w:rPr>
        <w:t>3</w:t>
      </w:r>
      <w:r w:rsidR="00474259">
        <w:rPr>
          <w:rFonts w:asciiTheme="majorHAnsi" w:hAnsiTheme="majorHAnsi"/>
          <w:b/>
          <w:bCs/>
          <w:sz w:val="28"/>
          <w:szCs w:val="28"/>
          <w:lang w:val="ro-MD"/>
        </w:rPr>
        <w:t>. Parlamentului Republicii Moldova,</w:t>
      </w:r>
      <w:r w:rsidR="00474259">
        <w:rPr>
          <w:rFonts w:asciiTheme="majorHAnsi" w:hAnsiTheme="majorHAnsi"/>
          <w:sz w:val="28"/>
          <w:szCs w:val="28"/>
          <w:lang w:val="ro-MD"/>
        </w:rPr>
        <w:t xml:space="preserve"> pentru informare</w:t>
      </w:r>
      <w:r w:rsidR="000E37BC">
        <w:rPr>
          <w:rFonts w:asciiTheme="majorHAnsi" w:hAnsiTheme="majorHAnsi"/>
          <w:sz w:val="28"/>
          <w:szCs w:val="28"/>
          <w:lang w:val="ro-MD"/>
        </w:rPr>
        <w:t>.</w:t>
      </w:r>
    </w:p>
    <w:p w:rsidR="00FB1636" w:rsidRPr="009C4896" w:rsidRDefault="00474259" w:rsidP="00C045EC">
      <w:pPr>
        <w:spacing w:after="0" w:line="276" w:lineRule="auto"/>
        <w:ind w:firstLine="567"/>
        <w:jc w:val="both"/>
        <w:rPr>
          <w:rFonts w:asciiTheme="majorHAnsi" w:eastAsia="Times New Roman" w:hAnsiTheme="majorHAnsi" w:cstheme="majorHAnsi"/>
          <w:sz w:val="28"/>
          <w:szCs w:val="28"/>
          <w:lang w:val="ro-RO" w:eastAsia="ro-MD"/>
        </w:rPr>
      </w:pPr>
      <w:r w:rsidRPr="003E6E82">
        <w:rPr>
          <w:rFonts w:asciiTheme="majorHAnsi" w:hAnsiTheme="majorHAnsi"/>
          <w:b/>
          <w:bCs/>
          <w:sz w:val="28"/>
          <w:szCs w:val="28"/>
          <w:lang w:val="ro-MD"/>
        </w:rPr>
        <w:t xml:space="preserve">3. </w:t>
      </w:r>
      <w:r w:rsidR="00FB1636" w:rsidRPr="003E6E82">
        <w:rPr>
          <w:rFonts w:asciiTheme="majorHAnsi" w:eastAsia="Times New Roman" w:hAnsiTheme="majorHAnsi" w:cs="Times New Roman"/>
          <w:sz w:val="28"/>
          <w:szCs w:val="28"/>
          <w:lang w:val="ro-RO" w:eastAsia="ro-MD"/>
        </w:rPr>
        <w:t xml:space="preserve">Se ia act că, pe parcursul desfășurării misiunii de audit, Autoritatea Națională de </w:t>
      </w:r>
      <w:r w:rsidR="00632C6D" w:rsidRPr="003E6E82">
        <w:rPr>
          <w:rFonts w:asciiTheme="majorHAnsi" w:eastAsia="Times New Roman" w:hAnsiTheme="majorHAnsi" w:cs="Times New Roman"/>
          <w:sz w:val="28"/>
          <w:szCs w:val="28"/>
          <w:lang w:val="ro-RO" w:eastAsia="ro-MD"/>
        </w:rPr>
        <w:t>I</w:t>
      </w:r>
      <w:r w:rsidR="00FB1636" w:rsidRPr="003E6E82">
        <w:rPr>
          <w:rFonts w:asciiTheme="majorHAnsi" w:eastAsia="Times New Roman" w:hAnsiTheme="majorHAnsi" w:cs="Times New Roman"/>
          <w:sz w:val="28"/>
          <w:szCs w:val="28"/>
          <w:lang w:val="ro-RO" w:eastAsia="ro-MD"/>
        </w:rPr>
        <w:t xml:space="preserve">ntegritate a întreprins măsurile de rigoare privind remedierea unor deficiențe constatate, după cum urmează: a efectuat înregistrările contabile de corectare privind contabilizarea corespunzătoare a </w:t>
      </w:r>
      <w:r w:rsidR="003E6E82">
        <w:rPr>
          <w:rFonts w:asciiTheme="majorHAnsi" w:eastAsia="Times New Roman" w:hAnsiTheme="majorHAnsi" w:cs="Times New Roman"/>
          <w:sz w:val="28"/>
          <w:szCs w:val="28"/>
          <w:lang w:val="ro-RO" w:eastAsia="ro-MD"/>
        </w:rPr>
        <w:t xml:space="preserve">activelor nemateriale în valoare de 920,0 mii MDL, </w:t>
      </w:r>
      <w:r w:rsidR="00FB1636" w:rsidRPr="003E6E82">
        <w:rPr>
          <w:rFonts w:asciiTheme="majorHAnsi" w:eastAsia="Times New Roman" w:hAnsiTheme="majorHAnsi" w:cs="Times New Roman"/>
          <w:sz w:val="28"/>
          <w:szCs w:val="28"/>
          <w:lang w:val="ro-RO" w:eastAsia="ro-MD"/>
        </w:rPr>
        <w:t xml:space="preserve">a mijloacelor fixe în </w:t>
      </w:r>
      <w:r w:rsidR="00FB1636" w:rsidRPr="000E196D">
        <w:rPr>
          <w:rFonts w:asciiTheme="majorHAnsi" w:eastAsia="Times New Roman" w:hAnsiTheme="majorHAnsi" w:cs="Times New Roman"/>
          <w:sz w:val="28"/>
          <w:szCs w:val="28"/>
          <w:lang w:val="ro-RO" w:eastAsia="ro-MD"/>
        </w:rPr>
        <w:t>valoare de</w:t>
      </w:r>
      <w:r w:rsidR="004E0F0D">
        <w:rPr>
          <w:rFonts w:asciiTheme="majorHAnsi" w:eastAsia="Times New Roman" w:hAnsiTheme="majorHAnsi" w:cs="Times New Roman"/>
          <w:sz w:val="28"/>
          <w:szCs w:val="28"/>
          <w:lang w:val="ro-RO" w:eastAsia="ro-MD"/>
        </w:rPr>
        <w:t xml:space="preserve"> </w:t>
      </w:r>
      <w:r w:rsidR="000E196D" w:rsidRPr="000E196D">
        <w:rPr>
          <w:rFonts w:asciiTheme="majorHAnsi" w:eastAsia="Times New Roman" w:hAnsiTheme="majorHAnsi" w:cs="Times New Roman"/>
          <w:sz w:val="28"/>
          <w:szCs w:val="28"/>
          <w:lang w:val="ro-RO" w:eastAsia="ro-MD"/>
        </w:rPr>
        <w:t xml:space="preserve">11,9 </w:t>
      </w:r>
      <w:r w:rsidR="00FB1636" w:rsidRPr="000E196D">
        <w:rPr>
          <w:rFonts w:asciiTheme="majorHAnsi" w:eastAsia="Times New Roman" w:hAnsiTheme="majorHAnsi" w:cs="Times New Roman"/>
          <w:sz w:val="28"/>
          <w:szCs w:val="28"/>
          <w:lang w:val="ro-RO" w:eastAsia="ro-MD"/>
        </w:rPr>
        <w:t xml:space="preserve">mii </w:t>
      </w:r>
      <w:r w:rsidR="00632C6D" w:rsidRPr="000E196D">
        <w:rPr>
          <w:rFonts w:asciiTheme="majorHAnsi" w:eastAsia="Times New Roman" w:hAnsiTheme="majorHAnsi" w:cs="Times New Roman"/>
          <w:sz w:val="28"/>
          <w:szCs w:val="28"/>
          <w:lang w:val="ro-RO" w:eastAsia="ro-MD"/>
        </w:rPr>
        <w:t>MDL</w:t>
      </w:r>
      <w:r w:rsidR="00667B35">
        <w:rPr>
          <w:rFonts w:asciiTheme="majorHAnsi" w:eastAsia="Times New Roman" w:hAnsiTheme="majorHAnsi" w:cs="Times New Roman"/>
          <w:sz w:val="28"/>
          <w:szCs w:val="28"/>
          <w:lang w:val="ro-RO" w:eastAsia="ro-MD"/>
        </w:rPr>
        <w:t xml:space="preserve"> și a reparațiilor capitale a </w:t>
      </w:r>
      <w:r w:rsidR="00667B35">
        <w:rPr>
          <w:rFonts w:asciiTheme="majorHAnsi" w:eastAsia="Times New Roman" w:hAnsiTheme="majorHAnsi" w:cs="Times New Roman"/>
          <w:sz w:val="28"/>
          <w:szCs w:val="28"/>
          <w:lang w:val="ro-RO" w:eastAsia="ro-MD"/>
        </w:rPr>
        <w:lastRenderedPageBreak/>
        <w:t>clădirilor în valoare de 85,7 mii MDL</w:t>
      </w:r>
      <w:r w:rsidR="00FB1636" w:rsidRPr="003E6E82">
        <w:rPr>
          <w:rFonts w:asciiTheme="majorHAnsi" w:eastAsia="Times New Roman" w:hAnsiTheme="majorHAnsi" w:cs="Times New Roman"/>
          <w:sz w:val="28"/>
          <w:szCs w:val="28"/>
          <w:lang w:val="ro-RO" w:eastAsia="ro-MD"/>
        </w:rPr>
        <w:t>;</w:t>
      </w:r>
      <w:r w:rsidR="0006703D">
        <w:rPr>
          <w:rFonts w:asciiTheme="majorHAnsi" w:eastAsia="Times New Roman" w:hAnsiTheme="majorHAnsi" w:cs="Times New Roman"/>
          <w:sz w:val="28"/>
          <w:szCs w:val="28"/>
          <w:lang w:val="ro-RO" w:eastAsia="ro-MD"/>
        </w:rPr>
        <w:t xml:space="preserve"> </w:t>
      </w:r>
      <w:r w:rsidR="0006703D" w:rsidRPr="0006703D">
        <w:rPr>
          <w:rFonts w:asciiTheme="majorHAnsi" w:hAnsiTheme="majorHAnsi" w:cs="Times New Roman"/>
          <w:sz w:val="28"/>
          <w:szCs w:val="28"/>
          <w:lang w:val="ro-MD"/>
        </w:rPr>
        <w:t>a finalizat întregul volum al lucrărilor de reparații capitale</w:t>
      </w:r>
      <w:r w:rsidR="0006703D">
        <w:rPr>
          <w:rFonts w:asciiTheme="majorHAnsi" w:hAnsiTheme="majorHAnsi" w:cs="Times New Roman"/>
          <w:sz w:val="28"/>
          <w:szCs w:val="28"/>
          <w:lang w:val="ro-MD"/>
        </w:rPr>
        <w:t>, achitate în avans, în sumă totală de 374,2 mii MDL</w:t>
      </w:r>
      <w:r w:rsidR="0006703D">
        <w:rPr>
          <w:rFonts w:asciiTheme="majorHAnsi" w:eastAsia="Times New Roman" w:hAnsiTheme="majorHAnsi" w:cs="Times New Roman"/>
          <w:sz w:val="28"/>
          <w:szCs w:val="28"/>
          <w:lang w:val="ro-RO" w:eastAsia="ro-MD"/>
        </w:rPr>
        <w:t>;</w:t>
      </w:r>
      <w:r w:rsidR="00FB1636" w:rsidRPr="003E6E82">
        <w:rPr>
          <w:rFonts w:asciiTheme="majorHAnsi" w:eastAsia="Times New Roman" w:hAnsiTheme="majorHAnsi" w:cs="Times New Roman"/>
          <w:sz w:val="28"/>
          <w:szCs w:val="28"/>
          <w:lang w:val="ro-RO" w:eastAsia="ro-MD"/>
        </w:rPr>
        <w:t xml:space="preserve"> a</w:t>
      </w:r>
      <w:r w:rsidR="009C4896">
        <w:rPr>
          <w:rFonts w:asciiTheme="majorHAnsi" w:hAnsiTheme="majorHAnsi" w:cs="Times New Roman"/>
          <w:sz w:val="24"/>
          <w:szCs w:val="24"/>
          <w:lang w:val="ro-MD"/>
        </w:rPr>
        <w:t xml:space="preserve"> </w:t>
      </w:r>
      <w:r w:rsidR="009C4896" w:rsidRPr="009C4896">
        <w:rPr>
          <w:rFonts w:asciiTheme="majorHAnsi" w:hAnsiTheme="majorHAnsi" w:cstheme="majorHAnsi"/>
          <w:sz w:val="28"/>
          <w:szCs w:val="28"/>
          <w:lang w:val="ro-MD"/>
        </w:rPr>
        <w:t>obțin</w:t>
      </w:r>
      <w:r w:rsidR="009C4896">
        <w:rPr>
          <w:rFonts w:asciiTheme="majorHAnsi" w:hAnsiTheme="majorHAnsi" w:cstheme="majorHAnsi"/>
          <w:sz w:val="28"/>
          <w:szCs w:val="28"/>
          <w:lang w:val="ro-MD"/>
        </w:rPr>
        <w:t>ut</w:t>
      </w:r>
      <w:r w:rsidR="009C4896" w:rsidRPr="009C4896">
        <w:rPr>
          <w:rFonts w:asciiTheme="majorHAnsi" w:hAnsiTheme="majorHAnsi" w:cstheme="majorHAnsi"/>
          <w:sz w:val="28"/>
          <w:szCs w:val="28"/>
          <w:lang w:val="ro-MD"/>
        </w:rPr>
        <w:t xml:space="preserve"> </w:t>
      </w:r>
      <w:r w:rsidR="009C4896" w:rsidRPr="009C4896">
        <w:rPr>
          <w:rFonts w:asciiTheme="majorHAnsi" w:hAnsiTheme="majorHAnsi" w:cstheme="majorHAnsi"/>
          <w:i/>
          <w:sz w:val="28"/>
          <w:szCs w:val="28"/>
          <w:lang w:val="ro-MD"/>
        </w:rPr>
        <w:t>(la solicitarea auditului public extern)</w:t>
      </w:r>
      <w:r w:rsidR="009C4896" w:rsidRPr="009C4896">
        <w:rPr>
          <w:rFonts w:asciiTheme="majorHAnsi" w:hAnsiTheme="majorHAnsi" w:cstheme="majorHAnsi"/>
          <w:sz w:val="28"/>
          <w:szCs w:val="28"/>
          <w:lang w:val="ro-MD"/>
        </w:rPr>
        <w:t xml:space="preserve"> o nouă Garanție bancară de bună execuție</w:t>
      </w:r>
      <w:r w:rsidR="009C4896">
        <w:rPr>
          <w:rFonts w:asciiTheme="majorHAnsi" w:hAnsiTheme="majorHAnsi" w:cstheme="majorHAnsi"/>
          <w:sz w:val="28"/>
          <w:szCs w:val="28"/>
          <w:lang w:val="ro-MD"/>
        </w:rPr>
        <w:t xml:space="preserve"> a contractului de antrepriză</w:t>
      </w:r>
      <w:r w:rsidR="009C4896" w:rsidRPr="009C4896">
        <w:rPr>
          <w:rFonts w:asciiTheme="majorHAnsi" w:hAnsiTheme="majorHAnsi" w:cstheme="majorHAnsi"/>
          <w:sz w:val="28"/>
          <w:szCs w:val="28"/>
          <w:lang w:val="ro-MD"/>
        </w:rPr>
        <w:t>, valabilă până la 31 mai 2020</w:t>
      </w:r>
      <w:r w:rsidR="00FB1636" w:rsidRPr="009C4896">
        <w:rPr>
          <w:rFonts w:asciiTheme="majorHAnsi" w:eastAsia="Times New Roman" w:hAnsiTheme="majorHAnsi" w:cstheme="majorHAnsi"/>
          <w:sz w:val="28"/>
          <w:szCs w:val="28"/>
          <w:lang w:val="ro-RO" w:eastAsia="ro-MD"/>
        </w:rPr>
        <w:t>.</w:t>
      </w:r>
    </w:p>
    <w:p w:rsidR="00C045EC" w:rsidRDefault="00FB1636" w:rsidP="00C045EC">
      <w:pPr>
        <w:spacing w:after="0" w:line="276" w:lineRule="auto"/>
        <w:ind w:firstLine="567"/>
        <w:jc w:val="both"/>
        <w:rPr>
          <w:rFonts w:asciiTheme="majorHAnsi" w:hAnsiTheme="majorHAnsi"/>
          <w:sz w:val="28"/>
          <w:szCs w:val="28"/>
          <w:lang w:val="ro-MD"/>
        </w:rPr>
      </w:pPr>
      <w:r w:rsidRPr="00AE7EE8">
        <w:rPr>
          <w:rFonts w:asciiTheme="majorHAnsi" w:eastAsia="Times New Roman" w:hAnsiTheme="majorHAnsi" w:cs="Times New Roman"/>
          <w:b/>
          <w:sz w:val="28"/>
          <w:szCs w:val="28"/>
          <w:lang w:val="ro-RO" w:eastAsia="ro-MD"/>
        </w:rPr>
        <w:t>4.</w:t>
      </w:r>
      <w:r w:rsidRPr="00AE7EE8">
        <w:rPr>
          <w:rFonts w:asciiTheme="majorHAnsi" w:eastAsia="Times New Roman" w:hAnsiTheme="majorHAnsi" w:cs="Times New Roman"/>
          <w:sz w:val="28"/>
          <w:szCs w:val="28"/>
          <w:lang w:val="ro-RO" w:eastAsia="ro-MD"/>
        </w:rPr>
        <w:t xml:space="preserve"> </w:t>
      </w:r>
      <w:r w:rsidR="00640B96" w:rsidRPr="00AE7EE8">
        <w:rPr>
          <w:rFonts w:asciiTheme="majorHAnsi" w:hAnsiTheme="majorHAnsi"/>
          <w:sz w:val="28"/>
          <w:szCs w:val="28"/>
          <w:lang w:val="ro-MD"/>
        </w:rPr>
        <w:t>Dată fiind implementarea</w:t>
      </w:r>
      <w:r w:rsidR="00F54570">
        <w:rPr>
          <w:rFonts w:asciiTheme="majorHAnsi" w:hAnsiTheme="majorHAnsi"/>
          <w:sz w:val="28"/>
          <w:szCs w:val="28"/>
          <w:lang w:val="ro-MD"/>
        </w:rPr>
        <w:t xml:space="preserve">, </w:t>
      </w:r>
      <w:r w:rsidR="00F54570" w:rsidRPr="005F0368">
        <w:rPr>
          <w:rFonts w:asciiTheme="majorHAnsi" w:hAnsiTheme="majorHAnsi"/>
          <w:sz w:val="28"/>
          <w:szCs w:val="28"/>
          <w:lang w:val="ro-MD"/>
        </w:rPr>
        <w:t>la nivel de 86%</w:t>
      </w:r>
      <w:r w:rsidR="00F54570">
        <w:rPr>
          <w:rFonts w:asciiTheme="majorHAnsi" w:hAnsiTheme="majorHAnsi"/>
          <w:sz w:val="28"/>
          <w:szCs w:val="28"/>
          <w:lang w:val="ro-MD"/>
        </w:rPr>
        <w:t>, a</w:t>
      </w:r>
      <w:r w:rsidR="00640B96" w:rsidRPr="00AE7EE8">
        <w:rPr>
          <w:rFonts w:asciiTheme="majorHAnsi" w:hAnsiTheme="majorHAnsi"/>
          <w:sz w:val="28"/>
          <w:szCs w:val="28"/>
          <w:lang w:val="ro-MD"/>
        </w:rPr>
        <w:t xml:space="preserve"> recomandărilor aferente misiunii de audit </w:t>
      </w:r>
      <w:r w:rsidR="00640B96" w:rsidRPr="005F0368">
        <w:rPr>
          <w:rFonts w:asciiTheme="majorHAnsi" w:hAnsiTheme="majorHAnsi"/>
          <w:sz w:val="28"/>
          <w:szCs w:val="28"/>
          <w:lang w:val="ro-MD"/>
        </w:rPr>
        <w:t>precedente</w:t>
      </w:r>
      <w:r w:rsidR="00632C6D" w:rsidRPr="005F0368">
        <w:rPr>
          <w:rFonts w:asciiTheme="majorHAnsi" w:hAnsiTheme="majorHAnsi"/>
          <w:sz w:val="28"/>
          <w:szCs w:val="28"/>
          <w:lang w:val="ro-MD"/>
        </w:rPr>
        <w:t>,</w:t>
      </w:r>
      <w:r w:rsidR="00640B96" w:rsidRPr="005F0368">
        <w:rPr>
          <w:rFonts w:asciiTheme="majorHAnsi" w:hAnsiTheme="majorHAnsi"/>
          <w:bCs/>
          <w:sz w:val="28"/>
          <w:szCs w:val="28"/>
          <w:lang w:val="ro-MD"/>
        </w:rPr>
        <w:t xml:space="preserve"> </w:t>
      </w:r>
      <w:r w:rsidR="00640B96" w:rsidRPr="005F0368">
        <w:rPr>
          <w:rFonts w:asciiTheme="majorHAnsi" w:hAnsiTheme="majorHAnsi"/>
          <w:sz w:val="28"/>
          <w:szCs w:val="28"/>
          <w:lang w:val="ro-MD"/>
        </w:rPr>
        <w:t>se exclude din regim de monitorizare Hotărârea Curții</w:t>
      </w:r>
      <w:r w:rsidR="00640B96" w:rsidRPr="00AE7EE8">
        <w:rPr>
          <w:rFonts w:asciiTheme="majorHAnsi" w:hAnsiTheme="majorHAnsi"/>
          <w:sz w:val="28"/>
          <w:szCs w:val="28"/>
          <w:lang w:val="ro-MD"/>
        </w:rPr>
        <w:t xml:space="preserve"> de Conturi </w:t>
      </w:r>
      <w:r w:rsidR="00640B96" w:rsidRPr="00AE7EE8">
        <w:rPr>
          <w:rFonts w:asciiTheme="majorHAnsi" w:hAnsiTheme="majorHAnsi" w:cs="Times New Roman"/>
          <w:sz w:val="28"/>
          <w:szCs w:val="28"/>
          <w:lang w:val="ro-MD"/>
        </w:rPr>
        <w:t>nr.</w:t>
      </w:r>
      <w:r w:rsidR="00AE7EE8">
        <w:rPr>
          <w:rFonts w:asciiTheme="majorHAnsi" w:hAnsiTheme="majorHAnsi" w:cs="Times New Roman"/>
          <w:sz w:val="28"/>
          <w:szCs w:val="28"/>
          <w:lang w:val="ro-MD"/>
        </w:rPr>
        <w:t>29</w:t>
      </w:r>
      <w:r w:rsidR="00640B96" w:rsidRPr="00AE7EE8">
        <w:rPr>
          <w:rFonts w:asciiTheme="majorHAnsi" w:hAnsiTheme="majorHAnsi" w:cs="Times New Roman"/>
          <w:sz w:val="28"/>
          <w:szCs w:val="28"/>
          <w:lang w:val="ro-MD"/>
        </w:rPr>
        <w:t xml:space="preserve"> </w:t>
      </w:r>
      <w:r w:rsidR="00AE7EE8">
        <w:rPr>
          <w:rFonts w:asciiTheme="majorHAnsi" w:hAnsiTheme="majorHAnsi" w:cs="Times New Roman"/>
          <w:sz w:val="28"/>
          <w:szCs w:val="28"/>
          <w:lang w:val="ro-MD"/>
        </w:rPr>
        <w:t>din 23.04.2019</w:t>
      </w:r>
      <w:r w:rsidR="00640B96" w:rsidRPr="00AE7EE8">
        <w:rPr>
          <w:rFonts w:asciiTheme="majorHAnsi" w:hAnsiTheme="majorHAnsi" w:cs="Times New Roman"/>
          <w:sz w:val="28"/>
          <w:szCs w:val="28"/>
          <w:lang w:val="ro-MD"/>
        </w:rPr>
        <w:t xml:space="preserve"> „</w:t>
      </w:r>
      <w:r w:rsidR="00640B96" w:rsidRPr="00AE7EE8">
        <w:rPr>
          <w:rFonts w:asciiTheme="majorHAnsi" w:hAnsiTheme="majorHAnsi"/>
          <w:sz w:val="28"/>
          <w:szCs w:val="28"/>
          <w:lang w:val="ro-MD"/>
        </w:rPr>
        <w:t xml:space="preserve">Cu privire la Raportul auditului </w:t>
      </w:r>
      <w:r w:rsidR="00AE7EE8">
        <w:rPr>
          <w:rFonts w:asciiTheme="majorHAnsi" w:hAnsiTheme="majorHAnsi"/>
          <w:sz w:val="28"/>
          <w:szCs w:val="28"/>
          <w:lang w:val="ro-MD"/>
        </w:rPr>
        <w:t>rapoartelor</w:t>
      </w:r>
      <w:r w:rsidR="00640B96" w:rsidRPr="00AE7EE8">
        <w:rPr>
          <w:rFonts w:asciiTheme="majorHAnsi" w:hAnsiTheme="majorHAnsi"/>
          <w:sz w:val="28"/>
          <w:szCs w:val="28"/>
          <w:lang w:val="ro-MD"/>
        </w:rPr>
        <w:t xml:space="preserve"> financiare ale Autorității Naționale de Integritate</w:t>
      </w:r>
      <w:r w:rsidR="00AE7EE8">
        <w:rPr>
          <w:rFonts w:asciiTheme="majorHAnsi" w:hAnsiTheme="majorHAnsi"/>
          <w:sz w:val="28"/>
          <w:szCs w:val="28"/>
          <w:lang w:val="ro-MD"/>
        </w:rPr>
        <w:t xml:space="preserve"> încheiate</w:t>
      </w:r>
      <w:r w:rsidR="00640B96" w:rsidRPr="00AE7EE8">
        <w:rPr>
          <w:rFonts w:asciiTheme="majorHAnsi" w:hAnsiTheme="majorHAnsi"/>
          <w:sz w:val="28"/>
          <w:szCs w:val="28"/>
          <w:lang w:val="ro-MD"/>
        </w:rPr>
        <w:t xml:space="preserve"> la 31</w:t>
      </w:r>
      <w:r w:rsidR="00053CBC" w:rsidRPr="00AE7EE8">
        <w:rPr>
          <w:rFonts w:asciiTheme="majorHAnsi" w:hAnsiTheme="majorHAnsi"/>
          <w:sz w:val="28"/>
          <w:szCs w:val="28"/>
          <w:lang w:val="ro-MD"/>
        </w:rPr>
        <w:t xml:space="preserve"> decembrie </w:t>
      </w:r>
      <w:r w:rsidR="0015254A">
        <w:rPr>
          <w:rFonts w:asciiTheme="majorHAnsi" w:hAnsiTheme="majorHAnsi"/>
          <w:sz w:val="28"/>
          <w:szCs w:val="28"/>
          <w:lang w:val="ro-MD"/>
        </w:rPr>
        <w:t>2018</w:t>
      </w:r>
      <w:r w:rsidR="00640B96" w:rsidRPr="00AE7EE8">
        <w:rPr>
          <w:rFonts w:asciiTheme="majorHAnsi" w:hAnsiTheme="majorHAnsi"/>
          <w:sz w:val="28"/>
          <w:szCs w:val="28"/>
          <w:lang w:val="ro-MD"/>
        </w:rPr>
        <w:t>”</w:t>
      </w:r>
      <w:r w:rsidR="00C045EC" w:rsidRPr="00AE7EE8">
        <w:rPr>
          <w:rFonts w:asciiTheme="majorHAnsi" w:hAnsiTheme="majorHAnsi"/>
          <w:sz w:val="28"/>
          <w:szCs w:val="28"/>
          <w:lang w:val="ro-MD"/>
        </w:rPr>
        <w:t>.</w:t>
      </w:r>
    </w:p>
    <w:p w:rsidR="00C045EC" w:rsidRDefault="00C045EC" w:rsidP="00C045EC">
      <w:pPr>
        <w:spacing w:after="0" w:line="276" w:lineRule="auto"/>
        <w:ind w:firstLine="567"/>
        <w:jc w:val="both"/>
        <w:rPr>
          <w:rFonts w:asciiTheme="majorHAnsi" w:hAnsiTheme="majorHAnsi"/>
          <w:bCs/>
          <w:sz w:val="28"/>
          <w:szCs w:val="28"/>
          <w:lang w:val="ro-MD"/>
        </w:rPr>
      </w:pPr>
      <w:r w:rsidRPr="00C045EC">
        <w:rPr>
          <w:rFonts w:asciiTheme="majorHAnsi" w:hAnsiTheme="majorHAnsi"/>
          <w:b/>
          <w:bCs/>
          <w:sz w:val="28"/>
          <w:szCs w:val="28"/>
          <w:lang w:val="ro-RO"/>
        </w:rPr>
        <w:t>5.</w:t>
      </w:r>
      <w:r>
        <w:rPr>
          <w:rFonts w:asciiTheme="majorHAnsi" w:hAnsiTheme="majorHAnsi"/>
          <w:bCs/>
          <w:sz w:val="28"/>
          <w:szCs w:val="28"/>
          <w:lang w:val="ro-RO"/>
        </w:rPr>
        <w:t xml:space="preserve"> </w:t>
      </w:r>
      <w:r w:rsidR="00474259">
        <w:rPr>
          <w:rFonts w:asciiTheme="majorHAnsi" w:hAnsiTheme="majorHAnsi"/>
          <w:bCs/>
          <w:sz w:val="28"/>
          <w:szCs w:val="28"/>
          <w:lang w:val="ro-MD"/>
        </w:rPr>
        <w:t xml:space="preserve">Se împuternicește </w:t>
      </w:r>
      <w:r w:rsidR="00612222">
        <w:rPr>
          <w:rFonts w:asciiTheme="majorHAnsi" w:hAnsiTheme="majorHAnsi"/>
          <w:bCs/>
          <w:sz w:val="28"/>
          <w:szCs w:val="28"/>
          <w:lang w:val="ro-MD"/>
        </w:rPr>
        <w:t xml:space="preserve">vicepreședintele </w:t>
      </w:r>
      <w:r w:rsidR="00474259">
        <w:rPr>
          <w:rFonts w:asciiTheme="majorHAnsi" w:hAnsiTheme="majorHAnsi"/>
          <w:bCs/>
          <w:sz w:val="28"/>
          <w:szCs w:val="28"/>
          <w:lang w:val="ro-MD"/>
        </w:rPr>
        <w:t xml:space="preserve">Curții de Conturi să semneze Scrisoarea </w:t>
      </w:r>
      <w:r w:rsidR="00053CBC">
        <w:rPr>
          <w:rFonts w:asciiTheme="majorHAnsi" w:hAnsiTheme="majorHAnsi"/>
          <w:bCs/>
          <w:sz w:val="28"/>
          <w:szCs w:val="28"/>
          <w:lang w:val="ro-MD"/>
        </w:rPr>
        <w:t xml:space="preserve">către </w:t>
      </w:r>
      <w:r w:rsidR="00474259">
        <w:rPr>
          <w:rFonts w:asciiTheme="majorHAnsi" w:hAnsiTheme="majorHAnsi"/>
          <w:bCs/>
          <w:sz w:val="28"/>
          <w:szCs w:val="28"/>
          <w:lang w:val="ro-MD"/>
        </w:rPr>
        <w:t>conducer</w:t>
      </w:r>
      <w:r w:rsidR="00053CBC">
        <w:rPr>
          <w:rFonts w:asciiTheme="majorHAnsi" w:hAnsiTheme="majorHAnsi"/>
          <w:bCs/>
          <w:sz w:val="28"/>
          <w:szCs w:val="28"/>
          <w:lang w:val="ro-MD"/>
        </w:rPr>
        <w:t>ea</w:t>
      </w:r>
      <w:r w:rsidR="00474259">
        <w:rPr>
          <w:rFonts w:asciiTheme="majorHAnsi" w:hAnsiTheme="majorHAnsi"/>
          <w:b/>
          <w:bCs/>
          <w:sz w:val="28"/>
          <w:szCs w:val="28"/>
          <w:lang w:val="ro-MD"/>
        </w:rPr>
        <w:t xml:space="preserve"> </w:t>
      </w:r>
      <w:r w:rsidR="00244775">
        <w:rPr>
          <w:rFonts w:asciiTheme="majorHAnsi" w:hAnsiTheme="majorHAnsi"/>
          <w:b/>
          <w:sz w:val="28"/>
          <w:szCs w:val="28"/>
          <w:lang w:val="ro-MD"/>
        </w:rPr>
        <w:t>Autorității Naționale de Integritate</w:t>
      </w:r>
      <w:r w:rsidR="00474259">
        <w:rPr>
          <w:rFonts w:asciiTheme="majorHAnsi" w:hAnsiTheme="majorHAnsi"/>
          <w:bCs/>
          <w:sz w:val="28"/>
          <w:szCs w:val="28"/>
          <w:lang w:val="ro-MD"/>
        </w:rPr>
        <w:t xml:space="preserve">, pentru luare de atitudine și realizarea recomandărilor neincluse în subpunctul 2.1. din prezenta Hotărâre. </w:t>
      </w:r>
    </w:p>
    <w:p w:rsidR="00C045EC" w:rsidRDefault="00C045EC" w:rsidP="00C045EC">
      <w:pPr>
        <w:spacing w:after="0" w:line="276" w:lineRule="auto"/>
        <w:ind w:firstLine="567"/>
        <w:jc w:val="both"/>
        <w:rPr>
          <w:rFonts w:asciiTheme="majorHAnsi" w:hAnsiTheme="majorHAnsi"/>
          <w:sz w:val="28"/>
          <w:szCs w:val="28"/>
          <w:lang w:val="ro-MD"/>
        </w:rPr>
      </w:pPr>
      <w:r>
        <w:rPr>
          <w:rFonts w:asciiTheme="majorHAnsi" w:hAnsiTheme="majorHAnsi"/>
          <w:b/>
          <w:bCs/>
          <w:sz w:val="28"/>
          <w:szCs w:val="28"/>
          <w:lang w:val="ro-MD"/>
        </w:rPr>
        <w:t>6</w:t>
      </w:r>
      <w:r w:rsidR="00474259">
        <w:rPr>
          <w:rFonts w:asciiTheme="majorHAnsi" w:hAnsiTheme="majorHAnsi"/>
          <w:b/>
          <w:bCs/>
          <w:sz w:val="28"/>
          <w:szCs w:val="28"/>
          <w:lang w:val="ro-MD"/>
        </w:rPr>
        <w:t xml:space="preserve">. </w:t>
      </w:r>
      <w:r w:rsidR="00474259">
        <w:rPr>
          <w:rFonts w:asciiTheme="majorHAnsi" w:hAnsiTheme="majorHAnsi"/>
          <w:bCs/>
          <w:sz w:val="28"/>
          <w:szCs w:val="28"/>
          <w:lang w:val="ro-MD"/>
        </w:rPr>
        <w:t xml:space="preserve">Prezenta Hotărâre intră în vigoare din data publicării </w:t>
      </w:r>
      <w:r w:rsidR="00474259">
        <w:rPr>
          <w:rFonts w:asciiTheme="majorHAnsi" w:hAnsiTheme="majorHAnsi"/>
          <w:sz w:val="28"/>
          <w:szCs w:val="28"/>
          <w:lang w:val="ro-MD"/>
        </w:rPr>
        <w:t xml:space="preserve">în Monitorul Oficial al Republicii Moldova. </w:t>
      </w:r>
    </w:p>
    <w:p w:rsidR="00C045EC" w:rsidRDefault="00C045EC" w:rsidP="00C045EC">
      <w:pPr>
        <w:spacing w:after="0" w:line="276" w:lineRule="auto"/>
        <w:ind w:firstLine="567"/>
        <w:jc w:val="both"/>
        <w:rPr>
          <w:rFonts w:asciiTheme="majorHAnsi" w:hAnsiTheme="majorHAnsi"/>
          <w:sz w:val="28"/>
          <w:szCs w:val="28"/>
          <w:lang w:val="ro-MD"/>
        </w:rPr>
      </w:pPr>
      <w:r>
        <w:rPr>
          <w:rFonts w:asciiTheme="majorHAnsi" w:hAnsiTheme="majorHAnsi"/>
          <w:b/>
          <w:bCs/>
          <w:sz w:val="28"/>
          <w:szCs w:val="28"/>
          <w:lang w:val="ro-MD"/>
        </w:rPr>
        <w:t>7</w:t>
      </w:r>
      <w:r w:rsidR="00474259">
        <w:rPr>
          <w:rFonts w:asciiTheme="majorHAnsi" w:hAnsiTheme="majorHAnsi"/>
          <w:b/>
          <w:bCs/>
          <w:sz w:val="28"/>
          <w:szCs w:val="28"/>
          <w:lang w:val="ro-MD"/>
        </w:rPr>
        <w:t xml:space="preserve">. </w:t>
      </w:r>
      <w:r w:rsidR="00F54570">
        <w:rPr>
          <w:rFonts w:asciiTheme="majorHAnsi" w:hAnsiTheme="majorHAnsi"/>
          <w:sz w:val="28"/>
          <w:szCs w:val="28"/>
          <w:lang w:val="ro-MD"/>
        </w:rPr>
        <w:t>Curtea de Conturi se va informa, în termen de 6 luni din data intrării în vigoare a Hotărârii, d</w:t>
      </w:r>
      <w:r w:rsidR="00474259">
        <w:rPr>
          <w:rFonts w:asciiTheme="majorHAnsi" w:hAnsiTheme="majorHAnsi"/>
          <w:sz w:val="28"/>
          <w:szCs w:val="28"/>
          <w:lang w:val="ro-MD"/>
        </w:rPr>
        <w:t xml:space="preserve">espre acțiunile întreprinse pentru executarea </w:t>
      </w:r>
      <w:r w:rsidR="00244775" w:rsidRPr="00D34C93">
        <w:rPr>
          <w:rFonts w:asciiTheme="majorHAnsi" w:hAnsiTheme="majorHAnsi"/>
          <w:sz w:val="28"/>
          <w:szCs w:val="28"/>
          <w:lang w:val="ro-MD"/>
        </w:rPr>
        <w:t>subpunctului 2.1.</w:t>
      </w:r>
      <w:r w:rsidR="00474259">
        <w:rPr>
          <w:rFonts w:asciiTheme="majorHAnsi" w:hAnsiTheme="majorHAnsi"/>
          <w:sz w:val="28"/>
          <w:szCs w:val="28"/>
          <w:lang w:val="ro-MD"/>
        </w:rPr>
        <w:t xml:space="preserve"> din prezenta Hotărâre și realizarea recomandărilor</w:t>
      </w:r>
      <w:r w:rsidR="00474259">
        <w:rPr>
          <w:rFonts w:asciiTheme="majorHAnsi" w:hAnsiTheme="majorHAnsi"/>
          <w:bCs/>
          <w:sz w:val="28"/>
          <w:szCs w:val="28"/>
          <w:lang w:val="ro-MD"/>
        </w:rPr>
        <w:t xml:space="preserve"> din Scrisoarea </w:t>
      </w:r>
      <w:r w:rsidR="00053CBC">
        <w:rPr>
          <w:rFonts w:asciiTheme="majorHAnsi" w:hAnsiTheme="majorHAnsi"/>
          <w:bCs/>
          <w:sz w:val="28"/>
          <w:szCs w:val="28"/>
          <w:lang w:val="ro-MD"/>
        </w:rPr>
        <w:t xml:space="preserve">către conducerea </w:t>
      </w:r>
      <w:r w:rsidR="00474259">
        <w:rPr>
          <w:rFonts w:asciiTheme="majorHAnsi" w:hAnsiTheme="majorHAnsi"/>
          <w:bCs/>
          <w:sz w:val="28"/>
          <w:szCs w:val="28"/>
          <w:lang w:val="ro-MD"/>
        </w:rPr>
        <w:t>entității</w:t>
      </w:r>
      <w:r w:rsidR="00474259">
        <w:rPr>
          <w:rFonts w:asciiTheme="majorHAnsi" w:hAnsiTheme="majorHAnsi"/>
          <w:sz w:val="28"/>
          <w:szCs w:val="28"/>
          <w:lang w:val="ro-MD"/>
        </w:rPr>
        <w:t xml:space="preserve">. </w:t>
      </w:r>
    </w:p>
    <w:p w:rsidR="00474259" w:rsidRPr="00C045EC" w:rsidRDefault="00C045EC" w:rsidP="00C045EC">
      <w:pPr>
        <w:spacing w:after="0" w:line="276" w:lineRule="auto"/>
        <w:ind w:firstLine="567"/>
        <w:jc w:val="both"/>
        <w:rPr>
          <w:rFonts w:asciiTheme="majorHAnsi" w:eastAsia="Times New Roman" w:hAnsiTheme="majorHAnsi" w:cs="Times New Roman"/>
          <w:sz w:val="28"/>
          <w:szCs w:val="28"/>
          <w:lang w:val="ro-RO" w:eastAsia="ro-MD"/>
        </w:rPr>
      </w:pPr>
      <w:r>
        <w:rPr>
          <w:rFonts w:asciiTheme="majorHAnsi" w:hAnsiTheme="majorHAnsi"/>
          <w:b/>
          <w:sz w:val="28"/>
          <w:szCs w:val="28"/>
          <w:lang w:val="ro-MD"/>
        </w:rPr>
        <w:t>8</w:t>
      </w:r>
      <w:r w:rsidR="00474259">
        <w:rPr>
          <w:rFonts w:asciiTheme="majorHAnsi" w:hAnsiTheme="majorHAnsi"/>
          <w:b/>
          <w:sz w:val="28"/>
          <w:szCs w:val="28"/>
          <w:lang w:val="ro-MD"/>
        </w:rPr>
        <w:t>.</w:t>
      </w:r>
      <w:r w:rsidR="00474259">
        <w:rPr>
          <w:rFonts w:asciiTheme="majorHAnsi" w:hAnsiTheme="majorHAnsi"/>
          <w:sz w:val="28"/>
          <w:szCs w:val="28"/>
          <w:lang w:val="ro-MD"/>
        </w:rPr>
        <w:t xml:space="preserve"> Hotărârea și Raportul auditului </w:t>
      </w:r>
      <w:r w:rsidR="00F54570">
        <w:rPr>
          <w:rFonts w:asciiTheme="majorHAnsi" w:hAnsiTheme="majorHAnsi"/>
          <w:sz w:val="28"/>
          <w:szCs w:val="28"/>
          <w:lang w:val="ro-MD"/>
        </w:rPr>
        <w:t xml:space="preserve">asupra </w:t>
      </w:r>
      <w:r w:rsidR="00474259">
        <w:rPr>
          <w:rFonts w:asciiTheme="majorHAnsi" w:hAnsiTheme="majorHAnsi"/>
          <w:sz w:val="28"/>
          <w:szCs w:val="28"/>
          <w:lang w:val="ro-MD"/>
        </w:rPr>
        <w:t xml:space="preserve">rapoartelor financiare ale </w:t>
      </w:r>
      <w:r w:rsidR="00244775">
        <w:rPr>
          <w:rFonts w:asciiTheme="majorHAnsi" w:hAnsiTheme="majorHAnsi"/>
          <w:sz w:val="28"/>
          <w:szCs w:val="28"/>
          <w:lang w:val="ro-MD"/>
        </w:rPr>
        <w:t>Autorității Naționale de Integritate încheiate la 31 decembrie 201</w:t>
      </w:r>
      <w:r w:rsidR="009F3F48">
        <w:rPr>
          <w:rFonts w:asciiTheme="majorHAnsi" w:hAnsiTheme="majorHAnsi"/>
          <w:sz w:val="28"/>
          <w:szCs w:val="28"/>
          <w:lang w:val="ro-MD"/>
        </w:rPr>
        <w:t>9</w:t>
      </w:r>
      <w:r w:rsidR="00474259">
        <w:rPr>
          <w:rFonts w:asciiTheme="majorHAnsi" w:hAnsiTheme="majorHAnsi"/>
          <w:sz w:val="28"/>
          <w:szCs w:val="28"/>
          <w:lang w:val="ro-MD"/>
        </w:rPr>
        <w:t xml:space="preserve"> se plasează pe site-ul oficial al Curții de Conturi </w:t>
      </w:r>
      <w:r w:rsidR="00474259">
        <w:rPr>
          <w:rFonts w:ascii="Calibri Light" w:hAnsi="Calibri Light" w:cs="Calibri Light"/>
          <w:sz w:val="28"/>
          <w:szCs w:val="28"/>
          <w:lang w:val="ro-MD"/>
        </w:rPr>
        <w:t>(</w:t>
      </w:r>
      <w:hyperlink r:id="rId9" w:history="1">
        <w:r w:rsidR="00474259">
          <w:rPr>
            <w:rStyle w:val="Hyperlink"/>
            <w:rFonts w:ascii="Calibri Light" w:eastAsiaTheme="majorEastAsia" w:hAnsi="Calibri Light" w:cs="Calibri Light"/>
            <w:sz w:val="28"/>
            <w:szCs w:val="28"/>
            <w:lang w:val="ro-MD"/>
          </w:rPr>
          <w:t>http://www.ccrm.md/hotariri-si-rapoarte-1-95</w:t>
        </w:r>
      </w:hyperlink>
      <w:r w:rsidR="00474259">
        <w:rPr>
          <w:rFonts w:ascii="Calibri Light" w:hAnsi="Calibri Light" w:cs="Calibri Light"/>
          <w:sz w:val="28"/>
          <w:szCs w:val="28"/>
          <w:lang w:val="ro-MD"/>
        </w:rPr>
        <w:t>).</w:t>
      </w:r>
    </w:p>
    <w:p w:rsidR="00474259" w:rsidRDefault="00474259" w:rsidP="00474259">
      <w:pPr>
        <w:pStyle w:val="NormalWeb"/>
        <w:spacing w:line="276" w:lineRule="auto"/>
        <w:rPr>
          <w:rFonts w:asciiTheme="majorHAnsi" w:hAnsiTheme="majorHAnsi"/>
          <w:sz w:val="28"/>
          <w:szCs w:val="28"/>
          <w:lang w:val="ro-MD"/>
        </w:rPr>
      </w:pPr>
    </w:p>
    <w:p w:rsidR="00474259" w:rsidRDefault="00474259" w:rsidP="00474259">
      <w:pPr>
        <w:pStyle w:val="NormalWeb"/>
        <w:spacing w:line="276" w:lineRule="auto"/>
        <w:rPr>
          <w:rFonts w:asciiTheme="majorHAnsi" w:hAnsiTheme="majorHAnsi"/>
          <w:sz w:val="28"/>
          <w:szCs w:val="28"/>
          <w:lang w:val="ro-MD"/>
        </w:rPr>
      </w:pPr>
    </w:p>
    <w:p w:rsidR="00474259" w:rsidRDefault="00474259" w:rsidP="00474259">
      <w:pPr>
        <w:spacing w:after="0" w:line="276" w:lineRule="auto"/>
        <w:jc w:val="right"/>
        <w:rPr>
          <w:rFonts w:asciiTheme="majorHAnsi" w:eastAsia="Times New Roman" w:hAnsiTheme="majorHAnsi" w:cs="Times New Roman"/>
          <w:b/>
          <w:sz w:val="28"/>
          <w:szCs w:val="28"/>
          <w:lang w:val="ro-MD"/>
        </w:rPr>
      </w:pPr>
      <w:r>
        <w:rPr>
          <w:rFonts w:asciiTheme="majorHAnsi" w:eastAsia="Times New Roman" w:hAnsiTheme="majorHAnsi" w:cs="Times New Roman"/>
          <w:b/>
          <w:sz w:val="28"/>
          <w:szCs w:val="28"/>
          <w:lang w:val="ro-MD"/>
        </w:rPr>
        <w:t>Marian LUPU,</w:t>
      </w:r>
    </w:p>
    <w:p w:rsidR="00474259" w:rsidRDefault="00474259" w:rsidP="00474259">
      <w:pPr>
        <w:spacing w:after="0" w:line="276" w:lineRule="auto"/>
        <w:jc w:val="right"/>
        <w:rPr>
          <w:rFonts w:asciiTheme="majorHAnsi" w:eastAsia="Times New Roman" w:hAnsiTheme="majorHAnsi" w:cs="Times New Roman"/>
          <w:b/>
          <w:sz w:val="28"/>
          <w:szCs w:val="28"/>
          <w:lang w:val="ro-MD"/>
        </w:rPr>
      </w:pPr>
      <w:r>
        <w:rPr>
          <w:rFonts w:asciiTheme="majorHAnsi" w:eastAsia="Times New Roman" w:hAnsiTheme="majorHAnsi" w:cs="Times New Roman"/>
          <w:b/>
          <w:sz w:val="28"/>
          <w:szCs w:val="28"/>
          <w:lang w:val="ro-MD"/>
        </w:rPr>
        <w:t>Președinte</w:t>
      </w:r>
    </w:p>
    <w:p w:rsidR="00474259" w:rsidRDefault="00474259" w:rsidP="00474259">
      <w:pPr>
        <w:spacing w:after="0" w:line="276" w:lineRule="auto"/>
        <w:rPr>
          <w:rFonts w:asciiTheme="majorHAnsi" w:hAnsiTheme="majorHAnsi" w:cs="Times New Roman"/>
          <w:sz w:val="28"/>
          <w:szCs w:val="28"/>
          <w:lang w:val="ro-MD"/>
        </w:rPr>
      </w:pPr>
    </w:p>
    <w:p w:rsidR="00474259" w:rsidRDefault="00474259" w:rsidP="00474259">
      <w:pPr>
        <w:spacing w:after="0" w:line="276" w:lineRule="auto"/>
        <w:rPr>
          <w:rFonts w:asciiTheme="majorHAnsi" w:hAnsiTheme="majorHAnsi" w:cs="Times New Roman"/>
          <w:sz w:val="28"/>
          <w:szCs w:val="28"/>
          <w:lang w:val="ro-MD"/>
        </w:rPr>
      </w:pPr>
    </w:p>
    <w:p w:rsidR="00474259" w:rsidRDefault="00474259" w:rsidP="00474259">
      <w:pPr>
        <w:spacing w:after="0" w:line="276" w:lineRule="auto"/>
        <w:rPr>
          <w:rFonts w:asciiTheme="majorHAnsi" w:hAnsiTheme="majorHAnsi" w:cs="Times New Roman"/>
          <w:sz w:val="28"/>
          <w:szCs w:val="28"/>
          <w:lang w:val="ro-MD"/>
        </w:rPr>
      </w:pPr>
    </w:p>
    <w:p w:rsidR="00474259" w:rsidRDefault="00474259" w:rsidP="00474259">
      <w:pPr>
        <w:spacing w:after="0" w:line="276" w:lineRule="auto"/>
        <w:rPr>
          <w:rFonts w:asciiTheme="majorHAnsi" w:hAnsiTheme="majorHAnsi" w:cs="Times New Roman"/>
          <w:sz w:val="28"/>
          <w:szCs w:val="28"/>
          <w:lang w:val="ro-MD"/>
        </w:rPr>
      </w:pPr>
    </w:p>
    <w:p w:rsidR="00474259" w:rsidRDefault="00474259" w:rsidP="00474259">
      <w:pPr>
        <w:spacing w:after="0" w:line="276" w:lineRule="auto"/>
        <w:rPr>
          <w:rFonts w:asciiTheme="majorHAnsi" w:hAnsiTheme="majorHAnsi" w:cs="Times New Roman"/>
          <w:sz w:val="28"/>
          <w:szCs w:val="28"/>
          <w:lang w:val="ro-MD"/>
        </w:rPr>
      </w:pPr>
    </w:p>
    <w:p w:rsidR="00432F3F" w:rsidRDefault="00432F3F" w:rsidP="00474259">
      <w:pPr>
        <w:spacing w:after="0" w:line="276" w:lineRule="auto"/>
        <w:rPr>
          <w:rFonts w:asciiTheme="majorHAnsi" w:hAnsiTheme="majorHAnsi" w:cs="Times New Roman"/>
          <w:sz w:val="28"/>
          <w:szCs w:val="28"/>
          <w:lang w:val="ro-MD"/>
        </w:rPr>
      </w:pPr>
    </w:p>
    <w:p w:rsidR="00432F3F" w:rsidRDefault="00432F3F" w:rsidP="00474259">
      <w:pPr>
        <w:spacing w:after="0" w:line="276" w:lineRule="auto"/>
        <w:rPr>
          <w:rFonts w:asciiTheme="majorHAnsi" w:hAnsiTheme="majorHAnsi" w:cs="Times New Roman"/>
          <w:sz w:val="28"/>
          <w:szCs w:val="28"/>
          <w:lang w:val="ro-MD"/>
        </w:rPr>
      </w:pPr>
    </w:p>
    <w:p w:rsidR="00432F3F" w:rsidRDefault="00432F3F" w:rsidP="00474259">
      <w:pPr>
        <w:spacing w:after="0" w:line="276" w:lineRule="auto"/>
        <w:rPr>
          <w:rFonts w:asciiTheme="majorHAnsi" w:hAnsiTheme="majorHAnsi" w:cs="Times New Roman"/>
          <w:sz w:val="28"/>
          <w:szCs w:val="28"/>
          <w:lang w:val="ro-MD"/>
        </w:rPr>
      </w:pPr>
    </w:p>
    <w:p w:rsidR="00432F3F" w:rsidRDefault="00432F3F" w:rsidP="00474259">
      <w:pPr>
        <w:spacing w:after="0" w:line="276" w:lineRule="auto"/>
        <w:rPr>
          <w:rFonts w:asciiTheme="majorHAnsi" w:hAnsiTheme="majorHAnsi" w:cs="Times New Roman"/>
          <w:sz w:val="28"/>
          <w:szCs w:val="28"/>
          <w:lang w:val="ro-MD"/>
        </w:rPr>
      </w:pPr>
    </w:p>
    <w:p w:rsidR="00976B20" w:rsidRDefault="00976B20" w:rsidP="00474259">
      <w:pPr>
        <w:spacing w:after="0" w:line="276" w:lineRule="auto"/>
        <w:rPr>
          <w:rFonts w:asciiTheme="majorHAnsi" w:hAnsiTheme="majorHAnsi" w:cs="Times New Roman"/>
          <w:sz w:val="28"/>
          <w:szCs w:val="28"/>
          <w:lang w:val="ro-MD"/>
        </w:rPr>
      </w:pPr>
    </w:p>
    <w:p w:rsidR="00976B20" w:rsidRDefault="00976B20" w:rsidP="00474259">
      <w:pPr>
        <w:spacing w:after="0" w:line="276" w:lineRule="auto"/>
        <w:rPr>
          <w:rFonts w:asciiTheme="majorHAnsi" w:hAnsiTheme="majorHAnsi" w:cs="Times New Roman"/>
          <w:sz w:val="28"/>
          <w:szCs w:val="28"/>
          <w:lang w:val="ro-MD"/>
        </w:rPr>
      </w:pPr>
    </w:p>
    <w:p w:rsidR="00976B20" w:rsidRDefault="00976B20" w:rsidP="00474259">
      <w:pPr>
        <w:spacing w:after="0" w:line="276" w:lineRule="auto"/>
        <w:rPr>
          <w:rFonts w:asciiTheme="majorHAnsi" w:hAnsiTheme="majorHAnsi" w:cs="Times New Roman"/>
          <w:sz w:val="28"/>
          <w:szCs w:val="28"/>
          <w:lang w:val="ro-MD"/>
        </w:rPr>
      </w:pPr>
    </w:p>
    <w:p w:rsidR="008C5874" w:rsidRPr="00474259" w:rsidRDefault="008C5874">
      <w:pPr>
        <w:rPr>
          <w:lang w:val="ro-MD"/>
        </w:rPr>
      </w:pPr>
    </w:p>
    <w:sectPr w:rsidR="008C5874" w:rsidRPr="00474259" w:rsidSect="00FE6A07">
      <w:headerReference w:type="default" r:id="rId10"/>
      <w:footerReference w:type="default" r:id="rId11"/>
      <w:pgSz w:w="11906" w:h="16838" w:code="9"/>
      <w:pgMar w:top="1140" w:right="851" w:bottom="11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494D" w:rsidRDefault="0016494D" w:rsidP="00474259">
      <w:pPr>
        <w:spacing w:after="0" w:line="240" w:lineRule="auto"/>
      </w:pPr>
      <w:r>
        <w:separator/>
      </w:r>
    </w:p>
  </w:endnote>
  <w:endnote w:type="continuationSeparator" w:id="0">
    <w:p w:rsidR="0016494D" w:rsidRDefault="0016494D" w:rsidP="0047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879665"/>
      <w:docPartObj>
        <w:docPartGallery w:val="Page Numbers (Bottom of Page)"/>
        <w:docPartUnique/>
      </w:docPartObj>
    </w:sdtPr>
    <w:sdtEndPr>
      <w:rPr>
        <w:noProof/>
      </w:rPr>
    </w:sdtEndPr>
    <w:sdtContent>
      <w:p w:rsidR="00FC201E" w:rsidRDefault="00FC201E">
        <w:pPr>
          <w:pStyle w:val="Footer"/>
          <w:jc w:val="right"/>
        </w:pPr>
        <w:r>
          <w:fldChar w:fldCharType="begin"/>
        </w:r>
        <w:r>
          <w:instrText xml:space="preserve"> PAGE   \* MERGEFORMAT </w:instrText>
        </w:r>
        <w:r>
          <w:fldChar w:fldCharType="separate"/>
        </w:r>
        <w:r w:rsidR="00232B04">
          <w:rPr>
            <w:noProof/>
          </w:rPr>
          <w:t>3</w:t>
        </w:r>
        <w:r>
          <w:rPr>
            <w:noProof/>
          </w:rPr>
          <w:fldChar w:fldCharType="end"/>
        </w:r>
      </w:p>
    </w:sdtContent>
  </w:sdt>
  <w:p w:rsidR="007A3208" w:rsidRDefault="007A3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494D" w:rsidRDefault="0016494D" w:rsidP="00474259">
      <w:pPr>
        <w:spacing w:after="0" w:line="240" w:lineRule="auto"/>
      </w:pPr>
      <w:r>
        <w:separator/>
      </w:r>
    </w:p>
  </w:footnote>
  <w:footnote w:type="continuationSeparator" w:id="0">
    <w:p w:rsidR="0016494D" w:rsidRDefault="0016494D" w:rsidP="00474259">
      <w:pPr>
        <w:spacing w:after="0" w:line="240" w:lineRule="auto"/>
      </w:pPr>
      <w:r>
        <w:continuationSeparator/>
      </w:r>
    </w:p>
  </w:footnote>
  <w:footnote w:id="1">
    <w:p w:rsidR="00902EF9" w:rsidRPr="00DA1D18" w:rsidRDefault="00902EF9" w:rsidP="00561A24">
      <w:pPr>
        <w:pStyle w:val="FootnoteText"/>
        <w:jc w:val="both"/>
        <w:rPr>
          <w:rFonts w:asciiTheme="majorHAnsi" w:hAnsiTheme="majorHAnsi" w:cstheme="majorHAnsi"/>
          <w:sz w:val="16"/>
          <w:szCs w:val="16"/>
          <w:lang w:val="ro-MD"/>
        </w:rPr>
      </w:pPr>
      <w:r w:rsidRPr="00DA1D18">
        <w:rPr>
          <w:rStyle w:val="FootnoteReference"/>
          <w:rFonts w:asciiTheme="majorHAnsi" w:hAnsiTheme="majorHAnsi" w:cstheme="majorHAnsi"/>
          <w:sz w:val="16"/>
          <w:szCs w:val="16"/>
          <w:lang w:val="ro-MD"/>
        </w:rPr>
        <w:footnoteRef/>
      </w:r>
      <w:r w:rsidR="004E0F0D">
        <w:rPr>
          <w:rFonts w:asciiTheme="majorHAnsi" w:hAnsiTheme="majorHAnsi" w:cstheme="majorHAnsi"/>
          <w:sz w:val="16"/>
          <w:szCs w:val="16"/>
          <w:lang w:val="ro-MD"/>
        </w:rPr>
        <w:t xml:space="preserve"> </w:t>
      </w:r>
      <w:r w:rsidR="00DA1D18" w:rsidRPr="00DA1D18">
        <w:rPr>
          <w:rFonts w:asciiTheme="majorHAnsi" w:hAnsiTheme="majorHAnsi" w:cstheme="majorHAnsi"/>
          <w:sz w:val="16"/>
          <w:szCs w:val="16"/>
          <w:lang w:val="ro-MD"/>
        </w:rPr>
        <w:t>Hotărârea Parlamentului privind declararea stării de urgență din 17.03.2020.</w:t>
      </w:r>
    </w:p>
  </w:footnote>
  <w:footnote w:id="2">
    <w:p w:rsidR="00474259" w:rsidRPr="00612222" w:rsidRDefault="00474259" w:rsidP="004E0F0D">
      <w:pPr>
        <w:pStyle w:val="FootnoteText"/>
        <w:jc w:val="both"/>
        <w:rPr>
          <w:rFonts w:asciiTheme="majorHAnsi" w:eastAsia="Times New Roman" w:hAnsiTheme="majorHAnsi" w:cs="Times New Roman"/>
          <w:sz w:val="16"/>
          <w:szCs w:val="16"/>
          <w:lang w:val="ro-RO"/>
        </w:rPr>
      </w:pPr>
      <w:r w:rsidRPr="00612222">
        <w:rPr>
          <w:rFonts w:asciiTheme="majorHAnsi" w:eastAsia="Times New Roman" w:hAnsiTheme="majorHAnsi" w:cs="Times New Roman"/>
          <w:sz w:val="16"/>
          <w:szCs w:val="16"/>
          <w:vertAlign w:val="superscript"/>
          <w:lang w:val="ro-RO"/>
        </w:rPr>
        <w:footnoteRef/>
      </w:r>
      <w:r w:rsidRPr="00612222">
        <w:rPr>
          <w:rFonts w:asciiTheme="majorHAnsi" w:eastAsia="Times New Roman" w:hAnsiTheme="majorHAnsi" w:cs="Times New Roman"/>
          <w:sz w:val="16"/>
          <w:szCs w:val="16"/>
          <w:lang w:val="ro-RO"/>
        </w:rPr>
        <w:t xml:space="preserve"> Legea privind organizarea și funcționarea Curții de Conturi a Republicii Moldova nr.260 din 07.12.2017 (în continuare – Legea nr.260 din 07.12.2017).</w:t>
      </w:r>
    </w:p>
  </w:footnote>
  <w:footnote w:id="3">
    <w:p w:rsidR="00474259" w:rsidRPr="00612222" w:rsidRDefault="00474259">
      <w:pPr>
        <w:pStyle w:val="FootnoteText"/>
        <w:jc w:val="both"/>
        <w:rPr>
          <w:rFonts w:asciiTheme="majorHAnsi" w:hAnsiTheme="majorHAnsi"/>
          <w:sz w:val="16"/>
          <w:szCs w:val="16"/>
        </w:rPr>
      </w:pPr>
      <w:r w:rsidRPr="00612222">
        <w:rPr>
          <w:rStyle w:val="FootnoteReference1"/>
          <w:rFonts w:asciiTheme="majorHAnsi" w:hAnsiTheme="majorHAnsi"/>
          <w:sz w:val="16"/>
          <w:szCs w:val="16"/>
          <w:lang w:val="ro-RO"/>
        </w:rPr>
        <w:footnoteRef/>
      </w:r>
      <w:r w:rsidRPr="00612222">
        <w:rPr>
          <w:rFonts w:asciiTheme="majorHAnsi" w:hAnsiTheme="majorHAnsi"/>
          <w:sz w:val="16"/>
          <w:szCs w:val="16"/>
          <w:lang w:val="ro-RO"/>
        </w:rPr>
        <w:t xml:space="preserve"> Ho</w:t>
      </w:r>
      <w:r w:rsidR="002B4AB7">
        <w:rPr>
          <w:rFonts w:asciiTheme="majorHAnsi" w:hAnsiTheme="majorHAnsi"/>
          <w:sz w:val="16"/>
          <w:szCs w:val="16"/>
          <w:lang w:val="ro-RO"/>
        </w:rPr>
        <w:t>tărârea Curții de Conturi nr.77 din 27.12.2019</w:t>
      </w:r>
      <w:r w:rsidRPr="00612222">
        <w:rPr>
          <w:rFonts w:asciiTheme="majorHAnsi" w:hAnsiTheme="majorHAnsi"/>
          <w:sz w:val="16"/>
          <w:szCs w:val="16"/>
          <w:lang w:val="ro-RO"/>
        </w:rPr>
        <w:t xml:space="preserve"> </w:t>
      </w:r>
      <w:r w:rsidRPr="00612222">
        <w:rPr>
          <w:rFonts w:asciiTheme="majorHAnsi" w:hAnsiTheme="majorHAnsi"/>
          <w:bCs/>
          <w:sz w:val="16"/>
          <w:szCs w:val="16"/>
          <w:lang w:val="ro-RO"/>
        </w:rPr>
        <w:t xml:space="preserve">„Privind aprobarea </w:t>
      </w:r>
      <w:r w:rsidRPr="00612222">
        <w:rPr>
          <w:rFonts w:asciiTheme="majorHAnsi" w:hAnsiTheme="majorHAnsi"/>
          <w:sz w:val="16"/>
          <w:szCs w:val="16"/>
          <w:lang w:val="ro-RO"/>
        </w:rPr>
        <w:t>Programului activității de audit a</w:t>
      </w:r>
      <w:r w:rsidR="002B4AB7">
        <w:rPr>
          <w:rFonts w:asciiTheme="majorHAnsi" w:hAnsiTheme="majorHAnsi"/>
          <w:sz w:val="16"/>
          <w:szCs w:val="16"/>
          <w:lang w:val="ro-RO"/>
        </w:rPr>
        <w:t xml:space="preserve"> Curții de Conturi pe anul 2020</w:t>
      </w:r>
      <w:r w:rsidRPr="00612222">
        <w:rPr>
          <w:rFonts w:asciiTheme="majorHAnsi" w:hAnsiTheme="majorHAnsi"/>
          <w:sz w:val="16"/>
          <w:szCs w:val="16"/>
          <w:lang w:val="ro-RO"/>
        </w:rPr>
        <w:t>”.</w:t>
      </w:r>
    </w:p>
  </w:footnote>
  <w:footnote w:id="4">
    <w:p w:rsidR="00474259" w:rsidRPr="00612222" w:rsidRDefault="00474259">
      <w:pPr>
        <w:spacing w:after="0" w:line="240" w:lineRule="auto"/>
        <w:jc w:val="both"/>
        <w:rPr>
          <w:rFonts w:ascii="Times New Roman" w:eastAsia="Times New Roman" w:hAnsi="Times New Roman" w:cs="Times New Roman"/>
          <w:sz w:val="16"/>
          <w:szCs w:val="16"/>
          <w:lang w:val="ro-RO"/>
        </w:rPr>
      </w:pPr>
      <w:r w:rsidRPr="00612222">
        <w:rPr>
          <w:rStyle w:val="FootnoteReference1"/>
          <w:rFonts w:asciiTheme="majorHAnsi" w:hAnsiTheme="majorHAnsi" w:cs="Times New Roman"/>
          <w:sz w:val="16"/>
          <w:szCs w:val="16"/>
          <w:lang w:val="ro-RO"/>
        </w:rPr>
        <w:footnoteRef/>
      </w:r>
      <w:r w:rsidRPr="00612222">
        <w:rPr>
          <w:rFonts w:asciiTheme="majorHAnsi" w:hAnsiTheme="majorHAnsi" w:cs="Times New Roman"/>
          <w:sz w:val="16"/>
          <w:szCs w:val="16"/>
          <w:lang w:val="ro-RO"/>
        </w:rPr>
        <w:t xml:space="preserve"> </w:t>
      </w:r>
      <w:r w:rsidRPr="00612222">
        <w:rPr>
          <w:rFonts w:asciiTheme="majorHAnsi" w:eastAsia="Times New Roman" w:hAnsiTheme="majorHAnsi" w:cs="Times New Roman"/>
          <w:sz w:val="16"/>
          <w:szCs w:val="16"/>
          <w:lang w:val="ro-RO"/>
        </w:rPr>
        <w:t>Hotărârea Curții de Conturi nr.60 din 11.12.2013 „Cu privire la aplicarea Standardelor Internaționale de Audit ale Instituțiilor Supreme de Audit de nivelul 3 – ISSAI 100, ISSAI 200, ISSAI 300, ISSAI 400</w:t>
      </w:r>
      <w:r w:rsidR="00D242E9" w:rsidRPr="00612222">
        <w:rPr>
          <w:rFonts w:asciiTheme="majorHAnsi" w:eastAsia="Times New Roman" w:hAnsiTheme="majorHAnsi" w:cs="Times New Roman"/>
          <w:sz w:val="16"/>
          <w:szCs w:val="16"/>
          <w:lang w:val="ro-RO"/>
        </w:rPr>
        <w:t>,</w:t>
      </w:r>
      <w:r w:rsidRPr="00612222">
        <w:rPr>
          <w:rFonts w:asciiTheme="majorHAnsi" w:eastAsia="Times New Roman" w:hAnsiTheme="majorHAnsi" w:cs="Times New Roman"/>
          <w:sz w:val="16"/>
          <w:szCs w:val="16"/>
          <w:lang w:val="ro-RO"/>
        </w:rPr>
        <w:t xml:space="preserve"> în cadrul misiunilor de audit ale Curții de Conturi”; Hotărârea Curții de Conturi nr.7 din 10.03.2014 „Cu privire la aplicarea Liniilor Directoare de Audit (ISSAI 1000-9999) în cadrul auditului public”.</w:t>
      </w:r>
    </w:p>
  </w:footnote>
  <w:footnote w:id="5">
    <w:p w:rsidR="00474259" w:rsidRPr="00612222" w:rsidRDefault="00474259" w:rsidP="00474259">
      <w:pPr>
        <w:pStyle w:val="FootnoteText"/>
        <w:jc w:val="both"/>
        <w:rPr>
          <w:rFonts w:asciiTheme="majorHAnsi" w:hAnsiTheme="majorHAnsi" w:cs="Times New Roman"/>
          <w:sz w:val="16"/>
          <w:szCs w:val="16"/>
          <w:lang w:val="ro-MD"/>
        </w:rPr>
      </w:pPr>
      <w:r w:rsidRPr="00612222">
        <w:rPr>
          <w:rStyle w:val="FootnoteReference1"/>
          <w:rFonts w:asciiTheme="majorHAnsi" w:hAnsiTheme="majorHAnsi" w:cs="Times New Roman"/>
          <w:sz w:val="16"/>
          <w:szCs w:val="16"/>
          <w:lang w:val="ro-MD"/>
        </w:rPr>
        <w:footnoteRef/>
      </w:r>
      <w:r w:rsidRPr="00612222">
        <w:rPr>
          <w:rFonts w:asciiTheme="majorHAnsi" w:hAnsiTheme="majorHAnsi" w:cs="Times New Roman"/>
          <w:sz w:val="16"/>
          <w:szCs w:val="16"/>
          <w:lang w:val="ro-MD"/>
        </w:rPr>
        <w:t xml:space="preserve"> Legea contabilității nr.</w:t>
      </w:r>
      <w:r w:rsidRPr="00612222">
        <w:rPr>
          <w:rFonts w:asciiTheme="majorHAnsi" w:eastAsia="Times New Roman" w:hAnsiTheme="majorHAnsi" w:cs="Times New Roman"/>
          <w:sz w:val="16"/>
          <w:szCs w:val="16"/>
          <w:lang w:val="ro-MD"/>
        </w:rPr>
        <w:t>113-XVI din 27.04.2007;</w:t>
      </w:r>
      <w:r w:rsidRPr="00612222">
        <w:rPr>
          <w:rFonts w:asciiTheme="majorHAnsi" w:hAnsiTheme="majorHAnsi" w:cs="Times New Roman"/>
          <w:sz w:val="16"/>
          <w:szCs w:val="16"/>
          <w:lang w:val="ro-MD"/>
        </w:rPr>
        <w:t xml:space="preserve"> </w:t>
      </w:r>
      <w:r w:rsidRPr="00612222">
        <w:rPr>
          <w:rFonts w:asciiTheme="majorHAnsi" w:eastAsia="Times New Roman" w:hAnsiTheme="majorHAnsi" w:cs="Times New Roman"/>
          <w:sz w:val="16"/>
          <w:szCs w:val="16"/>
          <w:lang w:val="ro-MD"/>
        </w:rPr>
        <w:t>Planul de conturi contabile în sistemul bugetar și Normele metodologice privind evidența contabilă și raportarea financiară în sistemul bugetar, aprobate prin Ordinul ministrului finanțelor nr.216 din 28.12.2015; Ordinul ministrului finanțelor nr.6 din 10.01.2018 „Cu privire la aprobarea termenelor de prezentare a rapoartelor financiare pe anul 2017”; Ordinul ministrului finanțelor nr.164 din 30.12.2016 „Cu privire la aprobarea Cerințelor la întocmirea Raportului narativ privind executarea bugetelor autorităților/instituțiilor bugetare”</w:t>
      </w:r>
      <w:r w:rsidRPr="00612222">
        <w:rPr>
          <w:rFonts w:asciiTheme="majorHAnsi" w:hAnsiTheme="majorHAnsi" w:cs="Times New Roman"/>
          <w:sz w:val="16"/>
          <w:szCs w:val="16"/>
          <w:lang w:val="ro-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42E9" w:rsidRPr="00DE4F82" w:rsidRDefault="00DE4F82" w:rsidP="00DE4F82">
    <w:pPr>
      <w:pStyle w:val="Header"/>
      <w:tabs>
        <w:tab w:val="left" w:pos="8248"/>
        <w:tab w:val="right" w:pos="9354"/>
      </w:tabs>
      <w:rPr>
        <w:i/>
        <w:lang w:val="ro-MD"/>
      </w:rPr>
    </w:pPr>
    <w:r>
      <w:rPr>
        <w:i/>
      </w:rPr>
      <w:tab/>
    </w: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D06A7"/>
    <w:multiLevelType w:val="hybridMultilevel"/>
    <w:tmpl w:val="4E28C686"/>
    <w:lvl w:ilvl="0" w:tplc="1138E596">
      <w:numFmt w:val="bullet"/>
      <w:lvlText w:val="-"/>
      <w:lvlJc w:val="left"/>
      <w:pPr>
        <w:ind w:left="720" w:hanging="360"/>
      </w:pPr>
      <w:rPr>
        <w:rFonts w:ascii="Calibri Light" w:eastAsiaTheme="minorHAnsi" w:hAnsi="Calibri Light" w:cs="Times New Roman" w:hint="default"/>
        <w:color w:val="auto"/>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start w:val="1"/>
      <w:numFmt w:val="bullet"/>
      <w:lvlText w:val="o"/>
      <w:lvlJc w:val="left"/>
      <w:pPr>
        <w:ind w:left="3600" w:hanging="360"/>
      </w:pPr>
      <w:rPr>
        <w:rFonts w:ascii="Courier New" w:hAnsi="Courier New" w:cs="Courier New" w:hint="default"/>
      </w:rPr>
    </w:lvl>
    <w:lvl w:ilvl="5" w:tplc="08180005">
      <w:start w:val="1"/>
      <w:numFmt w:val="bullet"/>
      <w:lvlText w:val=""/>
      <w:lvlJc w:val="left"/>
      <w:pPr>
        <w:ind w:left="4320" w:hanging="360"/>
      </w:pPr>
      <w:rPr>
        <w:rFonts w:ascii="Wingdings" w:hAnsi="Wingdings" w:hint="default"/>
      </w:rPr>
    </w:lvl>
    <w:lvl w:ilvl="6" w:tplc="08180001">
      <w:start w:val="1"/>
      <w:numFmt w:val="bullet"/>
      <w:lvlText w:val=""/>
      <w:lvlJc w:val="left"/>
      <w:pPr>
        <w:ind w:left="5040" w:hanging="360"/>
      </w:pPr>
      <w:rPr>
        <w:rFonts w:ascii="Symbol" w:hAnsi="Symbol" w:hint="default"/>
      </w:rPr>
    </w:lvl>
    <w:lvl w:ilvl="7" w:tplc="08180003">
      <w:start w:val="1"/>
      <w:numFmt w:val="bullet"/>
      <w:lvlText w:val="o"/>
      <w:lvlJc w:val="left"/>
      <w:pPr>
        <w:ind w:left="5760" w:hanging="360"/>
      </w:pPr>
      <w:rPr>
        <w:rFonts w:ascii="Courier New" w:hAnsi="Courier New" w:cs="Courier New" w:hint="default"/>
      </w:rPr>
    </w:lvl>
    <w:lvl w:ilvl="8" w:tplc="081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59"/>
    <w:rsid w:val="00053CBC"/>
    <w:rsid w:val="0006703D"/>
    <w:rsid w:val="00094DBF"/>
    <w:rsid w:val="000E196D"/>
    <w:rsid w:val="000E37BC"/>
    <w:rsid w:val="00140CD1"/>
    <w:rsid w:val="0015254A"/>
    <w:rsid w:val="0016494D"/>
    <w:rsid w:val="0021673C"/>
    <w:rsid w:val="002207BA"/>
    <w:rsid w:val="00226C17"/>
    <w:rsid w:val="00232B04"/>
    <w:rsid w:val="00244775"/>
    <w:rsid w:val="002B4AB7"/>
    <w:rsid w:val="002B7A40"/>
    <w:rsid w:val="002E5048"/>
    <w:rsid w:val="002F3F93"/>
    <w:rsid w:val="0033349B"/>
    <w:rsid w:val="00336E78"/>
    <w:rsid w:val="00342F6B"/>
    <w:rsid w:val="00392AF3"/>
    <w:rsid w:val="003E6E82"/>
    <w:rsid w:val="0040612C"/>
    <w:rsid w:val="00406BFB"/>
    <w:rsid w:val="00415B8F"/>
    <w:rsid w:val="00427E87"/>
    <w:rsid w:val="00432F3F"/>
    <w:rsid w:val="00466739"/>
    <w:rsid w:val="00474259"/>
    <w:rsid w:val="00494861"/>
    <w:rsid w:val="004B26B7"/>
    <w:rsid w:val="004D0503"/>
    <w:rsid w:val="004D2397"/>
    <w:rsid w:val="004E0F0D"/>
    <w:rsid w:val="005009CB"/>
    <w:rsid w:val="0053262A"/>
    <w:rsid w:val="0053593D"/>
    <w:rsid w:val="00561A24"/>
    <w:rsid w:val="00581C86"/>
    <w:rsid w:val="005B0558"/>
    <w:rsid w:val="005B7AE9"/>
    <w:rsid w:val="005C1DF1"/>
    <w:rsid w:val="005F0368"/>
    <w:rsid w:val="00601B07"/>
    <w:rsid w:val="00607DD3"/>
    <w:rsid w:val="00612222"/>
    <w:rsid w:val="006319DA"/>
    <w:rsid w:val="00632C6D"/>
    <w:rsid w:val="00640B96"/>
    <w:rsid w:val="00656AA7"/>
    <w:rsid w:val="00663CB0"/>
    <w:rsid w:val="00667B35"/>
    <w:rsid w:val="00671240"/>
    <w:rsid w:val="00686AFE"/>
    <w:rsid w:val="006C24CB"/>
    <w:rsid w:val="007613D7"/>
    <w:rsid w:val="007820FB"/>
    <w:rsid w:val="007A3208"/>
    <w:rsid w:val="007B4CB0"/>
    <w:rsid w:val="007D6126"/>
    <w:rsid w:val="008122F7"/>
    <w:rsid w:val="00841BDA"/>
    <w:rsid w:val="008608B1"/>
    <w:rsid w:val="00872A95"/>
    <w:rsid w:val="00872FA5"/>
    <w:rsid w:val="008C5874"/>
    <w:rsid w:val="008E26D5"/>
    <w:rsid w:val="00902EF9"/>
    <w:rsid w:val="00914247"/>
    <w:rsid w:val="00971F8F"/>
    <w:rsid w:val="00976B20"/>
    <w:rsid w:val="009C3AD4"/>
    <w:rsid w:val="009C4896"/>
    <w:rsid w:val="009F3F48"/>
    <w:rsid w:val="009F5E19"/>
    <w:rsid w:val="00AB324C"/>
    <w:rsid w:val="00AD5381"/>
    <w:rsid w:val="00AE0FAA"/>
    <w:rsid w:val="00AE7EE8"/>
    <w:rsid w:val="00AF1CFE"/>
    <w:rsid w:val="00AF34B4"/>
    <w:rsid w:val="00AF79FD"/>
    <w:rsid w:val="00B92937"/>
    <w:rsid w:val="00BB005C"/>
    <w:rsid w:val="00BD1385"/>
    <w:rsid w:val="00BE2654"/>
    <w:rsid w:val="00C026AC"/>
    <w:rsid w:val="00C045EC"/>
    <w:rsid w:val="00C170E6"/>
    <w:rsid w:val="00CB3023"/>
    <w:rsid w:val="00D242E9"/>
    <w:rsid w:val="00D34C93"/>
    <w:rsid w:val="00D365F3"/>
    <w:rsid w:val="00D4343B"/>
    <w:rsid w:val="00D52789"/>
    <w:rsid w:val="00D5314C"/>
    <w:rsid w:val="00D54F8D"/>
    <w:rsid w:val="00DA1D18"/>
    <w:rsid w:val="00DE0D01"/>
    <w:rsid w:val="00DE4F82"/>
    <w:rsid w:val="00DF5315"/>
    <w:rsid w:val="00E25394"/>
    <w:rsid w:val="00E62958"/>
    <w:rsid w:val="00EA6076"/>
    <w:rsid w:val="00EB1FEE"/>
    <w:rsid w:val="00EB6F14"/>
    <w:rsid w:val="00EE3877"/>
    <w:rsid w:val="00EE6309"/>
    <w:rsid w:val="00EE652A"/>
    <w:rsid w:val="00F02BF2"/>
    <w:rsid w:val="00F144D1"/>
    <w:rsid w:val="00F54570"/>
    <w:rsid w:val="00F5655C"/>
    <w:rsid w:val="00FB1636"/>
    <w:rsid w:val="00FC201E"/>
    <w:rsid w:val="00FC7DF0"/>
    <w:rsid w:val="00FD6275"/>
    <w:rsid w:val="00FE6A0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20CA4-4914-41E7-801A-4D41F420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259"/>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259"/>
    <w:rPr>
      <w:color w:val="0563C1" w:themeColor="hyperlink"/>
      <w:u w:val="single"/>
    </w:rPr>
  </w:style>
  <w:style w:type="paragraph" w:styleId="NormalWeb">
    <w:name w:val="Normal (Web)"/>
    <w:basedOn w:val="Normal"/>
    <w:uiPriority w:val="99"/>
    <w:semiHidden/>
    <w:unhideWhenUsed/>
    <w:rsid w:val="00474259"/>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semiHidden/>
    <w:locked/>
    <w:rsid w:val="00474259"/>
    <w:rPr>
      <w:sz w:val="20"/>
      <w:szCs w:val="20"/>
      <w:lang w:val="en-US"/>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semiHidden/>
    <w:unhideWhenUsed/>
    <w:qFormat/>
    <w:rsid w:val="00474259"/>
    <w:pPr>
      <w:spacing w:after="0" w:line="240" w:lineRule="auto"/>
    </w:pPr>
    <w:rPr>
      <w:sz w:val="20"/>
      <w:szCs w:val="20"/>
    </w:rPr>
  </w:style>
  <w:style w:type="character" w:customStyle="1" w:styleId="FootnoteTextChar1">
    <w:name w:val="Footnote Text Char1"/>
    <w:basedOn w:val="DefaultParagraphFont"/>
    <w:uiPriority w:val="99"/>
    <w:semiHidden/>
    <w:rsid w:val="00474259"/>
    <w:rPr>
      <w:sz w:val="20"/>
      <w:szCs w:val="20"/>
      <w:lang w:val="en-US"/>
    </w:rPr>
  </w:style>
  <w:style w:type="character" w:customStyle="1" w:styleId="ListParagraphChar">
    <w:name w:val="List Paragraph Char"/>
    <w:aliases w:val="Scriptoria bullet points Char,List Paragraph 1 Char,Абзац списка1 Char"/>
    <w:link w:val="ListParagraph"/>
    <w:uiPriority w:val="34"/>
    <w:locked/>
    <w:rsid w:val="00474259"/>
    <w:rPr>
      <w:lang w:val="en-US"/>
    </w:rPr>
  </w:style>
  <w:style w:type="paragraph" w:styleId="ListParagraph">
    <w:name w:val="List Paragraph"/>
    <w:aliases w:val="Scriptoria bullet points,List Paragraph 1,Абзац списка1"/>
    <w:basedOn w:val="Normal"/>
    <w:link w:val="ListParagraphChar"/>
    <w:uiPriority w:val="34"/>
    <w:qFormat/>
    <w:rsid w:val="00474259"/>
    <w:pPr>
      <w:ind w:left="720"/>
      <w:contextualSpacing/>
    </w:pPr>
  </w:style>
  <w:style w:type="paragraph" w:customStyle="1" w:styleId="cn">
    <w:name w:val="cn"/>
    <w:basedOn w:val="Normal"/>
    <w:uiPriority w:val="99"/>
    <w:rsid w:val="00474259"/>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1"/>
    <w:uiPriority w:val="99"/>
    <w:qFormat/>
    <w:rsid w:val="00474259"/>
    <w:pPr>
      <w:spacing w:line="240" w:lineRule="exact"/>
    </w:pPr>
    <w:rPr>
      <w:vertAlign w:val="superscript"/>
      <w:lang w:val="ro-MD"/>
    </w:rPr>
  </w:style>
  <w:style w:type="paragraph" w:customStyle="1" w:styleId="cp">
    <w:name w:val="cp"/>
    <w:basedOn w:val="Normal"/>
    <w:uiPriority w:val="99"/>
    <w:rsid w:val="00474259"/>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474259"/>
    <w:rPr>
      <w:vertAlign w:val="superscript"/>
    </w:rPr>
  </w:style>
  <w:style w:type="paragraph" w:styleId="Header">
    <w:name w:val="header"/>
    <w:basedOn w:val="Normal"/>
    <w:link w:val="HeaderChar"/>
    <w:uiPriority w:val="99"/>
    <w:unhideWhenUsed/>
    <w:rsid w:val="00D242E9"/>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42E9"/>
    <w:rPr>
      <w:lang w:val="en-US"/>
    </w:rPr>
  </w:style>
  <w:style w:type="paragraph" w:styleId="Footer">
    <w:name w:val="footer"/>
    <w:basedOn w:val="Normal"/>
    <w:link w:val="FooterChar"/>
    <w:uiPriority w:val="99"/>
    <w:unhideWhenUsed/>
    <w:rsid w:val="00D242E9"/>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42E9"/>
    <w:rPr>
      <w:lang w:val="en-US"/>
    </w:rPr>
  </w:style>
  <w:style w:type="paragraph" w:styleId="BalloonText">
    <w:name w:val="Balloon Text"/>
    <w:basedOn w:val="Normal"/>
    <w:link w:val="BalloonTextChar"/>
    <w:uiPriority w:val="99"/>
    <w:semiHidden/>
    <w:unhideWhenUsed/>
    <w:rsid w:val="00D2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2E9"/>
    <w:rPr>
      <w:rFonts w:ascii="Segoe UI" w:hAnsi="Segoe UI" w:cs="Segoe UI"/>
      <w:sz w:val="18"/>
      <w:szCs w:val="18"/>
      <w:lang w:val="en-US"/>
    </w:rPr>
  </w:style>
  <w:style w:type="character" w:styleId="FootnoteReference">
    <w:name w:val="footnote reference"/>
    <w:basedOn w:val="DefaultParagraphFont"/>
    <w:uiPriority w:val="99"/>
    <w:semiHidden/>
    <w:unhideWhenUsed/>
    <w:rsid w:val="00902E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36E8-CCF8-424E-9490-3E224B7F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4704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Ter-Cula Irina</dc:creator>
  <cp:keywords/>
  <dc:description/>
  <cp:lastModifiedBy>User</cp:lastModifiedBy>
  <cp:revision>2</cp:revision>
  <cp:lastPrinted>2019-04-25T13:35:00Z</cp:lastPrinted>
  <dcterms:created xsi:type="dcterms:W3CDTF">2020-05-12T12:36:00Z</dcterms:created>
  <dcterms:modified xsi:type="dcterms:W3CDTF">2020-05-12T12:36:00Z</dcterms:modified>
</cp:coreProperties>
</file>